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22693" w14:textId="77777777" w:rsidR="001D6AE1" w:rsidRPr="001D6AE1" w:rsidRDefault="001D6AE1" w:rsidP="001D6AE1">
      <w:pPr>
        <w:autoSpaceDE w:val="0"/>
        <w:autoSpaceDN w:val="0"/>
        <w:adjustRightInd w:val="0"/>
        <w:spacing w:before="0" w:after="0"/>
        <w:ind w:left="0"/>
        <w:rPr>
          <w:rFonts w:asciiTheme="minorHAnsi" w:hAnsiTheme="minorHAnsi" w:cstheme="minorHAnsi"/>
          <w:szCs w:val="22"/>
          <w:lang w:val="en-GB"/>
        </w:rPr>
      </w:pPr>
    </w:p>
    <w:p w14:paraId="2A5EBD7B" w14:textId="4E582A9F" w:rsidR="001D6AE1" w:rsidRPr="001D6AE1" w:rsidRDefault="001D6AE1" w:rsidP="001D6AE1">
      <w:pPr>
        <w:autoSpaceDE w:val="0"/>
        <w:autoSpaceDN w:val="0"/>
        <w:adjustRightInd w:val="0"/>
        <w:spacing w:before="0" w:after="0"/>
        <w:ind w:left="0"/>
        <w:rPr>
          <w:rFonts w:asciiTheme="minorHAnsi" w:hAnsiTheme="minorHAnsi" w:cstheme="minorHAnsi"/>
          <w:color w:val="FF0000"/>
          <w:szCs w:val="22"/>
        </w:rPr>
      </w:pPr>
      <w:r w:rsidRPr="001D6AE1">
        <w:rPr>
          <w:rFonts w:asciiTheme="minorHAnsi" w:hAnsiTheme="minorHAnsi" w:cstheme="minorHAnsi"/>
          <w:szCs w:val="22"/>
        </w:rPr>
        <w:t>The University</w:t>
      </w:r>
      <w:r>
        <w:rPr>
          <w:rFonts w:asciiTheme="minorHAnsi" w:hAnsiTheme="minorHAnsi" w:cstheme="minorHAnsi"/>
          <w:szCs w:val="22"/>
        </w:rPr>
        <w:t xml:space="preserve"> of</w:t>
      </w:r>
      <w:r w:rsidRPr="001D6AE1">
        <w:rPr>
          <w:rFonts w:asciiTheme="minorHAnsi" w:hAnsiTheme="minorHAnsi" w:cstheme="minorHAnsi"/>
          <w:szCs w:val="22"/>
        </w:rPr>
        <w:t xml:space="preserve"> Sharjah (UOS) commitment to social, environmental and economic sustainability extends to our supply base; therefore, all UOS’s suppliers are expected to adhere to the Supplier Code of Conduct.</w:t>
      </w:r>
    </w:p>
    <w:p w14:paraId="0F97D6A0" w14:textId="77777777" w:rsidR="001D6AE1" w:rsidRPr="001D6AE1" w:rsidRDefault="001D6AE1" w:rsidP="001D6AE1">
      <w:pPr>
        <w:pStyle w:val="NormalWeb"/>
        <w:shd w:val="clear" w:color="auto" w:fill="FFFFFF"/>
        <w:rPr>
          <w:rFonts w:asciiTheme="minorHAnsi" w:hAnsiTheme="minorHAnsi" w:cstheme="minorHAnsi"/>
          <w:sz w:val="22"/>
          <w:szCs w:val="22"/>
        </w:rPr>
      </w:pPr>
      <w:r w:rsidRPr="001D6AE1">
        <w:rPr>
          <w:rFonts w:asciiTheme="minorHAnsi" w:hAnsiTheme="minorHAnsi" w:cstheme="minorHAnsi"/>
          <w:sz w:val="22"/>
          <w:szCs w:val="22"/>
        </w:rPr>
        <w:t xml:space="preserve">Suppliers must comply in full with UAE Government Labour Laws and treat workers with dignity and respect, provide safe working conditions, use environmentally responsible manufacturing processes, and practice the highest level of ethical standards. </w:t>
      </w:r>
    </w:p>
    <w:p w14:paraId="4F1181C7"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r w:rsidRPr="001D6AE1">
        <w:rPr>
          <w:rFonts w:asciiTheme="minorHAnsi" w:hAnsiTheme="minorHAnsi" w:cstheme="minorHAnsi"/>
          <w:szCs w:val="22"/>
        </w:rPr>
        <w:t>This Code does not replace contractual terms and conditions in the event that a Supplier is awarded a contract by UOS.</w:t>
      </w:r>
    </w:p>
    <w:p w14:paraId="6DAC9E56" w14:textId="77777777" w:rsidR="001D6AE1" w:rsidRPr="001D6AE1" w:rsidRDefault="001D6AE1" w:rsidP="001D6AE1">
      <w:pPr>
        <w:autoSpaceDE w:val="0"/>
        <w:autoSpaceDN w:val="0"/>
        <w:adjustRightInd w:val="0"/>
        <w:spacing w:after="0"/>
        <w:ind w:left="0"/>
        <w:rPr>
          <w:rFonts w:asciiTheme="minorHAnsi" w:hAnsiTheme="minorHAnsi" w:cstheme="minorHAnsi"/>
          <w:b/>
          <w:color w:val="C00000"/>
          <w:szCs w:val="22"/>
        </w:rPr>
      </w:pPr>
    </w:p>
    <w:p w14:paraId="12432A6D" w14:textId="77777777" w:rsidR="001D6AE1" w:rsidRPr="001D6AE1" w:rsidRDefault="001D6AE1" w:rsidP="00F02658">
      <w:pPr>
        <w:pStyle w:val="Heading2"/>
      </w:pPr>
      <w:r w:rsidRPr="001D6AE1">
        <w:t>General Responsibility</w:t>
      </w:r>
    </w:p>
    <w:p w14:paraId="35BF61B4" w14:textId="77777777" w:rsidR="001D6AE1" w:rsidRPr="001D6AE1" w:rsidRDefault="001D6AE1" w:rsidP="001D6AE1">
      <w:pPr>
        <w:autoSpaceDE w:val="0"/>
        <w:autoSpaceDN w:val="0"/>
        <w:adjustRightInd w:val="0"/>
        <w:spacing w:after="0"/>
        <w:ind w:left="0"/>
        <w:rPr>
          <w:rFonts w:asciiTheme="minorHAnsi" w:hAnsiTheme="minorHAnsi" w:cstheme="minorHAnsi"/>
          <w:color w:val="C00000"/>
          <w:szCs w:val="22"/>
        </w:rPr>
      </w:pPr>
    </w:p>
    <w:p w14:paraId="0A140285" w14:textId="77777777" w:rsidR="001D6AE1" w:rsidRPr="001D6AE1" w:rsidRDefault="001D6AE1" w:rsidP="001D6AE1">
      <w:pPr>
        <w:pStyle w:val="ListParagraph"/>
        <w:numPr>
          <w:ilvl w:val="0"/>
          <w:numId w:val="16"/>
        </w:numPr>
        <w:autoSpaceDE w:val="0"/>
        <w:autoSpaceDN w:val="0"/>
        <w:adjustRightInd w:val="0"/>
        <w:spacing w:after="0"/>
        <w:rPr>
          <w:rFonts w:asciiTheme="minorHAnsi" w:hAnsiTheme="minorHAnsi" w:cstheme="minorHAnsi"/>
          <w:b/>
          <w:szCs w:val="22"/>
        </w:rPr>
      </w:pPr>
      <w:r w:rsidRPr="001D6AE1">
        <w:rPr>
          <w:rFonts w:asciiTheme="minorHAnsi" w:hAnsiTheme="minorHAnsi" w:cstheme="minorHAnsi"/>
          <w:b/>
          <w:szCs w:val="22"/>
        </w:rPr>
        <w:t>Hiring and Employment Practices</w:t>
      </w:r>
    </w:p>
    <w:p w14:paraId="3CB170C6"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r w:rsidRPr="001D6AE1">
        <w:rPr>
          <w:rFonts w:asciiTheme="minorHAnsi" w:hAnsiTheme="minorHAnsi" w:cstheme="minorHAnsi"/>
          <w:szCs w:val="22"/>
        </w:rPr>
        <w:t xml:space="preserve">Suppliers’ hiring practices must include verification of workers’ legal right to work in the country and ensure that all mandatory documents, such as work permits, are available.  </w:t>
      </w:r>
    </w:p>
    <w:p w14:paraId="7E402834" w14:textId="77777777" w:rsidR="001D6AE1" w:rsidRPr="001D6AE1" w:rsidRDefault="001D6AE1" w:rsidP="001D6AE1">
      <w:pPr>
        <w:pStyle w:val="0Heading1"/>
        <w:numPr>
          <w:ilvl w:val="0"/>
          <w:numId w:val="16"/>
        </w:numPr>
        <w:rPr>
          <w:rFonts w:asciiTheme="minorHAnsi" w:hAnsiTheme="minorHAnsi" w:cstheme="minorHAnsi"/>
          <w:color w:val="auto"/>
          <w:sz w:val="22"/>
          <w:szCs w:val="22"/>
        </w:rPr>
      </w:pPr>
      <w:r w:rsidRPr="001D6AE1">
        <w:rPr>
          <w:rFonts w:asciiTheme="minorHAnsi" w:hAnsiTheme="minorHAnsi" w:cstheme="minorHAnsi"/>
          <w:color w:val="auto"/>
          <w:sz w:val="22"/>
          <w:szCs w:val="22"/>
        </w:rPr>
        <w:t>Subcontracting and Assignment</w:t>
      </w:r>
    </w:p>
    <w:p w14:paraId="7E534FA5" w14:textId="3A2958FB" w:rsidR="001D6AE1" w:rsidRDefault="001D6AE1" w:rsidP="001D6AE1">
      <w:pPr>
        <w:pStyle w:val="0Normal"/>
        <w:ind w:left="0"/>
        <w:rPr>
          <w:rFonts w:asciiTheme="minorHAnsi" w:hAnsiTheme="minorHAnsi" w:cstheme="minorHAnsi"/>
          <w:szCs w:val="22"/>
        </w:rPr>
      </w:pPr>
      <w:r w:rsidRPr="001D6AE1">
        <w:rPr>
          <w:rFonts w:asciiTheme="minorHAnsi" w:hAnsiTheme="minorHAnsi" w:cstheme="minorHAnsi"/>
          <w:szCs w:val="22"/>
        </w:rPr>
        <w:t>Unless permitted to do so under contractual terms and conditions, Suppliers shall not subcontract or assign services, supply of goods or manpower. Where permitted to do so, Suppliers shall still be liable for the work of subcontractors and UOS reserves the right to refuse a subcontractor.</w:t>
      </w:r>
    </w:p>
    <w:p w14:paraId="5F47620F" w14:textId="77777777" w:rsidR="00D0002F" w:rsidRPr="001D6AE1" w:rsidRDefault="00D0002F" w:rsidP="001D6AE1">
      <w:pPr>
        <w:pStyle w:val="0Normal"/>
        <w:ind w:left="0"/>
        <w:rPr>
          <w:rFonts w:asciiTheme="minorHAnsi" w:hAnsiTheme="minorHAnsi" w:cstheme="minorHAnsi"/>
          <w:szCs w:val="22"/>
        </w:rPr>
      </w:pPr>
    </w:p>
    <w:p w14:paraId="5D23576A" w14:textId="77777777" w:rsidR="001D6AE1" w:rsidRPr="001D6AE1" w:rsidRDefault="001D6AE1" w:rsidP="001D6AE1">
      <w:pPr>
        <w:pStyle w:val="ListParagraph"/>
        <w:numPr>
          <w:ilvl w:val="0"/>
          <w:numId w:val="16"/>
        </w:numPr>
        <w:autoSpaceDE w:val="0"/>
        <w:autoSpaceDN w:val="0"/>
        <w:adjustRightInd w:val="0"/>
        <w:spacing w:after="0"/>
        <w:rPr>
          <w:rFonts w:asciiTheme="minorHAnsi" w:hAnsiTheme="minorHAnsi" w:cstheme="minorHAnsi"/>
          <w:b/>
          <w:szCs w:val="22"/>
        </w:rPr>
      </w:pPr>
      <w:r w:rsidRPr="001D6AE1">
        <w:rPr>
          <w:rFonts w:asciiTheme="minorHAnsi" w:hAnsiTheme="minorHAnsi" w:cstheme="minorHAnsi"/>
          <w:b/>
          <w:szCs w:val="22"/>
        </w:rPr>
        <w:t>Compensation and Working Hours</w:t>
      </w:r>
    </w:p>
    <w:p w14:paraId="2FDD5BB2" w14:textId="77777777" w:rsidR="001D6AE1" w:rsidRPr="001D6AE1" w:rsidRDefault="001D6AE1" w:rsidP="001D6AE1">
      <w:pPr>
        <w:pStyle w:val="ListParagraph"/>
        <w:autoSpaceDE w:val="0"/>
        <w:autoSpaceDN w:val="0"/>
        <w:adjustRightInd w:val="0"/>
        <w:spacing w:after="0"/>
        <w:rPr>
          <w:rFonts w:asciiTheme="minorHAnsi" w:hAnsiTheme="minorHAnsi" w:cstheme="minorHAnsi"/>
          <w:b/>
          <w:szCs w:val="22"/>
        </w:rPr>
      </w:pPr>
    </w:p>
    <w:p w14:paraId="5A137B80" w14:textId="6FB57D98" w:rsidR="001D6AE1" w:rsidRPr="003D2B09" w:rsidRDefault="001D6AE1" w:rsidP="003D2B09">
      <w:pPr>
        <w:pStyle w:val="ListParagraph"/>
        <w:numPr>
          <w:ilvl w:val="0"/>
          <w:numId w:val="20"/>
        </w:numPr>
        <w:autoSpaceDE w:val="0"/>
        <w:autoSpaceDN w:val="0"/>
        <w:adjustRightInd w:val="0"/>
        <w:spacing w:after="0"/>
        <w:rPr>
          <w:rFonts w:asciiTheme="minorHAnsi" w:hAnsiTheme="minorHAnsi" w:cstheme="minorHAnsi"/>
          <w:b/>
          <w:bCs/>
          <w:szCs w:val="22"/>
        </w:rPr>
      </w:pPr>
      <w:r w:rsidRPr="003D2B09">
        <w:rPr>
          <w:rFonts w:asciiTheme="minorHAnsi" w:hAnsiTheme="minorHAnsi" w:cstheme="minorHAnsi"/>
          <w:b/>
          <w:bCs/>
          <w:szCs w:val="22"/>
        </w:rPr>
        <w:t>Local Suppliers</w:t>
      </w:r>
    </w:p>
    <w:p w14:paraId="3875D469" w14:textId="77777777" w:rsidR="001D6AE1" w:rsidRPr="001D6AE1" w:rsidRDefault="001D6AE1" w:rsidP="001D6AE1">
      <w:pPr>
        <w:spacing w:after="0"/>
        <w:ind w:left="0"/>
        <w:rPr>
          <w:rFonts w:asciiTheme="minorHAnsi" w:hAnsiTheme="minorHAnsi" w:cstheme="minorHAnsi"/>
          <w:szCs w:val="22"/>
        </w:rPr>
      </w:pPr>
      <w:r w:rsidRPr="001D6AE1">
        <w:rPr>
          <w:rFonts w:asciiTheme="minorHAnsi" w:hAnsiTheme="minorHAnsi" w:cstheme="minorHAnsi"/>
          <w:szCs w:val="22"/>
        </w:rPr>
        <w:t>Local Suppliers must comply where applicable with UAE wage and hour labour laws and regulations governing employee compensation and working hours. This includes adhering to the Wages Protection System adopted by the Ministry of Labour, providing health insurance, proper housing and accommodation in the Emirate of Sharjah and providing a valid residency for employees in line with the current effective legislations. Suppliers should also conduct operations in ways that limit overtime to a level that ensures a humane and productive work environment. Suppliers operating outside the Emirate of Sharjah are expected to observe fair and honest labour practices aligned with the respective country laws.</w:t>
      </w:r>
    </w:p>
    <w:p w14:paraId="1B62A41A" w14:textId="77777777" w:rsidR="001D6AE1" w:rsidRPr="001D6AE1" w:rsidRDefault="001D6AE1" w:rsidP="001D6AE1">
      <w:pPr>
        <w:autoSpaceDE w:val="0"/>
        <w:autoSpaceDN w:val="0"/>
        <w:adjustRightInd w:val="0"/>
        <w:spacing w:after="0"/>
        <w:rPr>
          <w:rFonts w:asciiTheme="minorHAnsi" w:hAnsiTheme="minorHAnsi" w:cstheme="minorHAnsi"/>
          <w:b/>
          <w:szCs w:val="22"/>
        </w:rPr>
      </w:pPr>
    </w:p>
    <w:p w14:paraId="323E38C3" w14:textId="7A76D48D" w:rsidR="001D6AE1" w:rsidRPr="003D2B09" w:rsidRDefault="001D6AE1" w:rsidP="003D2B09">
      <w:pPr>
        <w:pStyle w:val="ListParagraph"/>
        <w:numPr>
          <w:ilvl w:val="0"/>
          <w:numId w:val="20"/>
        </w:numPr>
        <w:autoSpaceDE w:val="0"/>
        <w:autoSpaceDN w:val="0"/>
        <w:adjustRightInd w:val="0"/>
        <w:spacing w:after="0"/>
        <w:rPr>
          <w:rFonts w:asciiTheme="minorHAnsi" w:hAnsiTheme="minorHAnsi" w:cstheme="minorHAnsi"/>
          <w:b/>
          <w:szCs w:val="22"/>
        </w:rPr>
      </w:pPr>
      <w:r w:rsidRPr="003D2B09">
        <w:rPr>
          <w:rFonts w:asciiTheme="minorHAnsi" w:hAnsiTheme="minorHAnsi" w:cstheme="minorHAnsi"/>
          <w:b/>
          <w:szCs w:val="22"/>
        </w:rPr>
        <w:lastRenderedPageBreak/>
        <w:t>International Supplier</w:t>
      </w:r>
      <w:r w:rsidR="006566F3" w:rsidRPr="003D2B09">
        <w:rPr>
          <w:rFonts w:asciiTheme="minorHAnsi" w:hAnsiTheme="minorHAnsi" w:cstheme="minorHAnsi"/>
          <w:b/>
          <w:szCs w:val="22"/>
        </w:rPr>
        <w:t>s</w:t>
      </w:r>
      <w:r w:rsidRPr="003D2B09">
        <w:rPr>
          <w:rFonts w:asciiTheme="minorHAnsi" w:hAnsiTheme="minorHAnsi" w:cstheme="minorHAnsi"/>
          <w:b/>
          <w:szCs w:val="22"/>
        </w:rPr>
        <w:t xml:space="preserve"> </w:t>
      </w:r>
    </w:p>
    <w:p w14:paraId="181456FA" w14:textId="199BF8B2" w:rsidR="001D6AE1" w:rsidRPr="001D6AE1" w:rsidRDefault="001D6AE1" w:rsidP="001D6AE1">
      <w:pPr>
        <w:spacing w:after="0"/>
        <w:ind w:left="0"/>
        <w:rPr>
          <w:rFonts w:asciiTheme="minorHAnsi" w:hAnsiTheme="minorHAnsi" w:cstheme="minorHAnsi"/>
          <w:szCs w:val="22"/>
        </w:rPr>
      </w:pPr>
      <w:r w:rsidRPr="001D6AE1">
        <w:rPr>
          <w:rFonts w:asciiTheme="minorHAnsi" w:hAnsiTheme="minorHAnsi" w:cstheme="minorHAnsi"/>
          <w:szCs w:val="22"/>
        </w:rPr>
        <w:t>International Suppliers must comply with the applicable host country’s</w:t>
      </w:r>
      <w:r w:rsidRPr="001D6AE1">
        <w:rPr>
          <w:rFonts w:asciiTheme="minorHAnsi" w:hAnsiTheme="minorHAnsi" w:cstheme="minorHAnsi"/>
          <w:b/>
          <w:color w:val="000000"/>
          <w:szCs w:val="22"/>
          <w:lang w:eastAsia="en-GB"/>
        </w:rPr>
        <w:t xml:space="preserve"> </w:t>
      </w:r>
      <w:r w:rsidRPr="001D6AE1">
        <w:rPr>
          <w:rFonts w:asciiTheme="minorHAnsi" w:hAnsiTheme="minorHAnsi" w:cstheme="minorHAnsi"/>
          <w:szCs w:val="22"/>
        </w:rPr>
        <w:t>wage and hour labour laws and regulations governing employee compensation and working hours. Suppliers should also conduct operations in ways that limit overtime to a level that ensures a humane and productive work environment</w:t>
      </w:r>
      <w:r w:rsidRPr="001D6AE1">
        <w:rPr>
          <w:rFonts w:asciiTheme="minorHAnsi" w:hAnsiTheme="minorHAnsi" w:cstheme="minorHAnsi"/>
          <w:strike/>
          <w:szCs w:val="22"/>
        </w:rPr>
        <w:t>.</w:t>
      </w:r>
      <w:r w:rsidRPr="001D6AE1">
        <w:rPr>
          <w:rFonts w:asciiTheme="minorHAnsi" w:hAnsiTheme="minorHAnsi" w:cstheme="minorHAnsi"/>
          <w:szCs w:val="22"/>
        </w:rPr>
        <w:t xml:space="preserve"> Suppliers operating outside the </w:t>
      </w:r>
      <w:r w:rsidR="00D0002F">
        <w:rPr>
          <w:rFonts w:asciiTheme="minorHAnsi" w:hAnsiTheme="minorHAnsi" w:cstheme="minorHAnsi"/>
          <w:szCs w:val="22"/>
        </w:rPr>
        <w:t>UAE</w:t>
      </w:r>
      <w:r w:rsidRPr="001D6AE1">
        <w:rPr>
          <w:rFonts w:asciiTheme="minorHAnsi" w:hAnsiTheme="minorHAnsi" w:cstheme="minorHAnsi"/>
          <w:szCs w:val="22"/>
        </w:rPr>
        <w:t xml:space="preserve"> are expected to observe fair and honest labour practices aligned with the respective country laws.</w:t>
      </w:r>
    </w:p>
    <w:p w14:paraId="5F5968E5" w14:textId="77777777" w:rsidR="001D6AE1" w:rsidRPr="001D6AE1" w:rsidRDefault="001D6AE1" w:rsidP="001D6AE1">
      <w:pPr>
        <w:autoSpaceDE w:val="0"/>
        <w:autoSpaceDN w:val="0"/>
        <w:adjustRightInd w:val="0"/>
        <w:spacing w:after="0"/>
        <w:ind w:left="0"/>
        <w:rPr>
          <w:rFonts w:asciiTheme="minorHAnsi" w:hAnsiTheme="minorHAnsi" w:cstheme="minorHAnsi"/>
          <w:b/>
          <w:szCs w:val="22"/>
        </w:rPr>
      </w:pPr>
    </w:p>
    <w:p w14:paraId="0419FC40" w14:textId="24846A16" w:rsidR="001D6AE1" w:rsidRPr="003D2B09" w:rsidRDefault="001D6AE1" w:rsidP="003D2B09">
      <w:pPr>
        <w:pStyle w:val="ListParagraph"/>
        <w:numPr>
          <w:ilvl w:val="0"/>
          <w:numId w:val="20"/>
        </w:numPr>
        <w:autoSpaceDE w:val="0"/>
        <w:autoSpaceDN w:val="0"/>
        <w:adjustRightInd w:val="0"/>
        <w:spacing w:after="0"/>
        <w:rPr>
          <w:rFonts w:asciiTheme="minorHAnsi" w:hAnsiTheme="minorHAnsi" w:cstheme="minorHAnsi"/>
          <w:b/>
          <w:szCs w:val="22"/>
        </w:rPr>
      </w:pPr>
      <w:r w:rsidRPr="003D2B09">
        <w:rPr>
          <w:rFonts w:asciiTheme="minorHAnsi" w:hAnsiTheme="minorHAnsi" w:cstheme="minorHAnsi"/>
          <w:b/>
          <w:szCs w:val="22"/>
        </w:rPr>
        <w:t>Health and Safety</w:t>
      </w:r>
    </w:p>
    <w:p w14:paraId="73EEDBAB"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r w:rsidRPr="001D6AE1">
        <w:rPr>
          <w:rFonts w:asciiTheme="minorHAnsi" w:hAnsiTheme="minorHAnsi" w:cstheme="minorHAnsi"/>
          <w:szCs w:val="22"/>
        </w:rPr>
        <w:t xml:space="preserve">Suppliers must provide workers with a safe and healthy work environment. They should take proactive measures that support accident prevention and minimize health risk exposure </w:t>
      </w:r>
    </w:p>
    <w:p w14:paraId="2D6E26B5" w14:textId="77777777" w:rsidR="001D6AE1" w:rsidRPr="001D6AE1" w:rsidRDefault="001D6AE1" w:rsidP="001D6AE1">
      <w:pPr>
        <w:pStyle w:val="0Normal"/>
        <w:ind w:left="0"/>
        <w:rPr>
          <w:rFonts w:asciiTheme="minorHAnsi" w:hAnsiTheme="minorHAnsi" w:cstheme="minorHAnsi"/>
          <w:szCs w:val="22"/>
        </w:rPr>
      </w:pPr>
      <w:r w:rsidRPr="001D6AE1">
        <w:rPr>
          <w:rFonts w:asciiTheme="minorHAnsi" w:hAnsiTheme="minorHAnsi" w:cstheme="minorHAnsi"/>
          <w:szCs w:val="22"/>
        </w:rPr>
        <w:t>Suppliers shall use sustainable materials, where possible, and shall have due regard for HS&amp;E while on UOS premises and in their own offices / facilities.</w:t>
      </w:r>
    </w:p>
    <w:p w14:paraId="75CFC3B2" w14:textId="77777777" w:rsidR="001D6AE1" w:rsidRPr="001D6AE1" w:rsidRDefault="001D6AE1" w:rsidP="001D6AE1">
      <w:pPr>
        <w:autoSpaceDE w:val="0"/>
        <w:autoSpaceDN w:val="0"/>
        <w:adjustRightInd w:val="0"/>
        <w:spacing w:after="0"/>
        <w:ind w:left="0"/>
        <w:rPr>
          <w:rFonts w:asciiTheme="minorHAnsi" w:hAnsiTheme="minorHAnsi" w:cstheme="minorHAnsi"/>
          <w:b/>
          <w:szCs w:val="22"/>
        </w:rPr>
      </w:pPr>
    </w:p>
    <w:p w14:paraId="3E936A9E" w14:textId="77777777" w:rsidR="001D6AE1" w:rsidRPr="001D6AE1" w:rsidRDefault="001D6AE1" w:rsidP="003D2B09">
      <w:pPr>
        <w:pStyle w:val="ListParagraph"/>
        <w:numPr>
          <w:ilvl w:val="0"/>
          <w:numId w:val="20"/>
        </w:numPr>
        <w:autoSpaceDE w:val="0"/>
        <w:autoSpaceDN w:val="0"/>
        <w:adjustRightInd w:val="0"/>
        <w:spacing w:after="0"/>
        <w:rPr>
          <w:rFonts w:asciiTheme="minorHAnsi" w:hAnsiTheme="minorHAnsi" w:cstheme="minorHAnsi"/>
          <w:b/>
          <w:szCs w:val="22"/>
        </w:rPr>
      </w:pPr>
      <w:r w:rsidRPr="001D6AE1">
        <w:rPr>
          <w:rFonts w:asciiTheme="minorHAnsi" w:hAnsiTheme="minorHAnsi" w:cstheme="minorHAnsi"/>
          <w:b/>
          <w:szCs w:val="22"/>
        </w:rPr>
        <w:t>Environment</w:t>
      </w:r>
    </w:p>
    <w:p w14:paraId="386DF90E" w14:textId="77777777" w:rsidR="001D6AE1" w:rsidRPr="001D6AE1" w:rsidRDefault="001D6AE1" w:rsidP="001D6AE1">
      <w:pPr>
        <w:autoSpaceDE w:val="0"/>
        <w:autoSpaceDN w:val="0"/>
        <w:adjustRightInd w:val="0"/>
        <w:spacing w:after="0"/>
        <w:ind w:left="0"/>
        <w:rPr>
          <w:rFonts w:asciiTheme="minorHAnsi" w:hAnsiTheme="minorHAnsi" w:cstheme="minorHAnsi"/>
          <w:color w:val="C00000"/>
          <w:szCs w:val="22"/>
        </w:rPr>
      </w:pPr>
      <w:r w:rsidRPr="001D6AE1">
        <w:rPr>
          <w:rFonts w:asciiTheme="minorHAnsi" w:hAnsiTheme="minorHAnsi" w:cstheme="minorHAnsi"/>
          <w:color w:val="000000"/>
          <w:szCs w:val="22"/>
        </w:rPr>
        <w:t xml:space="preserve">Suppliers are expected to conduct their operations in a way that minimizes the impact on natural resources and protects the environment, customers, and employees. They must ensure their operations comply with all laws related to air emissions, water discharges, toxic substances, and hazardous waste disposal. </w:t>
      </w:r>
    </w:p>
    <w:p w14:paraId="6DF856C4" w14:textId="77777777" w:rsidR="001D6AE1" w:rsidRPr="001D6AE1" w:rsidRDefault="001D6AE1" w:rsidP="001D6AE1">
      <w:pPr>
        <w:autoSpaceDE w:val="0"/>
        <w:autoSpaceDN w:val="0"/>
        <w:adjustRightInd w:val="0"/>
        <w:spacing w:after="0"/>
        <w:ind w:left="0"/>
        <w:rPr>
          <w:rFonts w:asciiTheme="minorHAnsi" w:hAnsiTheme="minorHAnsi" w:cstheme="minorHAnsi"/>
          <w:b/>
          <w:color w:val="800000"/>
          <w:szCs w:val="22"/>
        </w:rPr>
      </w:pPr>
    </w:p>
    <w:p w14:paraId="6B257E62" w14:textId="4A198F1D" w:rsidR="001D6AE1" w:rsidRDefault="001D6AE1" w:rsidP="006566F3">
      <w:pPr>
        <w:pStyle w:val="Heading2"/>
      </w:pPr>
      <w:r w:rsidRPr="001D6AE1">
        <w:t>Ethics</w:t>
      </w:r>
    </w:p>
    <w:p w14:paraId="51941F3B" w14:textId="77777777" w:rsidR="003B2841" w:rsidRPr="003B2841" w:rsidRDefault="003B2841" w:rsidP="003B2841">
      <w:pPr>
        <w:ind w:left="0"/>
      </w:pPr>
    </w:p>
    <w:p w14:paraId="186E6612" w14:textId="33640EE7" w:rsidR="001D6AE1" w:rsidRPr="003D2B09" w:rsidRDefault="001D6AE1" w:rsidP="003D2B09">
      <w:pPr>
        <w:pStyle w:val="ListParagraph"/>
        <w:numPr>
          <w:ilvl w:val="0"/>
          <w:numId w:val="19"/>
        </w:numPr>
        <w:autoSpaceDE w:val="0"/>
        <w:autoSpaceDN w:val="0"/>
        <w:adjustRightInd w:val="0"/>
        <w:spacing w:after="0"/>
        <w:rPr>
          <w:rFonts w:asciiTheme="minorHAnsi" w:hAnsiTheme="minorHAnsi" w:cstheme="minorHAnsi"/>
          <w:b/>
          <w:szCs w:val="22"/>
        </w:rPr>
      </w:pPr>
      <w:r w:rsidRPr="003D2B09">
        <w:rPr>
          <w:rFonts w:asciiTheme="minorHAnsi" w:hAnsiTheme="minorHAnsi" w:cstheme="minorHAnsi"/>
          <w:b/>
          <w:szCs w:val="22"/>
        </w:rPr>
        <w:t>Conflict of Interest</w:t>
      </w:r>
    </w:p>
    <w:p w14:paraId="5E4E8CBD" w14:textId="77777777" w:rsidR="001D6AE1" w:rsidRPr="001D6AE1" w:rsidRDefault="001D6AE1" w:rsidP="001D6AE1">
      <w:pPr>
        <w:autoSpaceDE w:val="0"/>
        <w:autoSpaceDN w:val="0"/>
        <w:adjustRightInd w:val="0"/>
        <w:spacing w:after="0"/>
        <w:ind w:left="0"/>
        <w:rPr>
          <w:rFonts w:asciiTheme="minorHAnsi" w:hAnsiTheme="minorHAnsi" w:cstheme="minorHAnsi"/>
          <w:color w:val="000000"/>
          <w:szCs w:val="22"/>
        </w:rPr>
      </w:pPr>
      <w:r w:rsidRPr="001D6AE1">
        <w:rPr>
          <w:rFonts w:asciiTheme="minorHAnsi" w:hAnsiTheme="minorHAnsi" w:cstheme="minorHAnsi"/>
          <w:color w:val="000000"/>
          <w:szCs w:val="22"/>
        </w:rPr>
        <w:t>Suppliers must avoid Conflicts of Interest and shall not enter into a financial or any other relationship with a UOS employee that creates any actual, potential or perceived conflict of interest for UOS.</w:t>
      </w:r>
    </w:p>
    <w:p w14:paraId="067A2474" w14:textId="77777777" w:rsidR="001D6AE1" w:rsidRPr="001D6AE1" w:rsidRDefault="001D6AE1" w:rsidP="001D6AE1">
      <w:pPr>
        <w:autoSpaceDE w:val="0"/>
        <w:autoSpaceDN w:val="0"/>
        <w:adjustRightInd w:val="0"/>
        <w:spacing w:after="0"/>
        <w:ind w:left="0"/>
        <w:rPr>
          <w:rFonts w:asciiTheme="minorHAnsi" w:hAnsiTheme="minorHAnsi" w:cstheme="minorHAnsi"/>
          <w:color w:val="000000"/>
          <w:szCs w:val="22"/>
        </w:rPr>
      </w:pPr>
      <w:r w:rsidRPr="001D6AE1">
        <w:rPr>
          <w:rFonts w:asciiTheme="minorHAnsi" w:hAnsiTheme="minorHAnsi" w:cstheme="minorHAnsi"/>
          <w:color w:val="000000"/>
          <w:szCs w:val="22"/>
        </w:rPr>
        <w:t>They must understand that a conflict of interest arises when the personal interests of the UOS employee are inconsistent with the responsibilities of his/her position with the company (UOS). All such conflicts must be disclosed and corrected. Even the appearance of a conflict of interest can be damaging to UOS and to you as a supplier, and must be disclosed and approved in advance by UOS management.</w:t>
      </w:r>
    </w:p>
    <w:p w14:paraId="16D517F0" w14:textId="77777777" w:rsidR="001D6AE1" w:rsidRPr="001D6AE1" w:rsidRDefault="001D6AE1" w:rsidP="001D6AE1">
      <w:pPr>
        <w:autoSpaceDE w:val="0"/>
        <w:autoSpaceDN w:val="0"/>
        <w:adjustRightInd w:val="0"/>
        <w:spacing w:after="0"/>
        <w:ind w:left="0"/>
        <w:rPr>
          <w:rFonts w:asciiTheme="minorHAnsi" w:hAnsiTheme="minorHAnsi" w:cstheme="minorHAnsi"/>
          <w:color w:val="000000"/>
          <w:szCs w:val="22"/>
        </w:rPr>
      </w:pPr>
      <w:r w:rsidRPr="001D6AE1">
        <w:rPr>
          <w:rFonts w:asciiTheme="minorHAnsi" w:hAnsiTheme="minorHAnsi" w:cstheme="minorHAnsi"/>
          <w:color w:val="000000"/>
          <w:szCs w:val="22"/>
        </w:rPr>
        <w:t xml:space="preserve">To disclose any conflict of interest, contact the Supplier Management Team at: </w:t>
      </w:r>
      <w:hyperlink r:id="rId7" w:history="1">
        <w:r w:rsidRPr="001D6AE1">
          <w:rPr>
            <w:rStyle w:val="Hyperlink"/>
            <w:rFonts w:asciiTheme="minorHAnsi" w:hAnsiTheme="minorHAnsi" w:cstheme="minorHAnsi"/>
            <w:color w:val="000000"/>
            <w:szCs w:val="22"/>
          </w:rPr>
          <w:t>supplier@sharjah.ac.ae</w:t>
        </w:r>
      </w:hyperlink>
    </w:p>
    <w:p w14:paraId="08040298" w14:textId="3A7EF027" w:rsidR="001D6AE1" w:rsidRDefault="001D6AE1" w:rsidP="001D6AE1">
      <w:pPr>
        <w:autoSpaceDE w:val="0"/>
        <w:autoSpaceDN w:val="0"/>
        <w:adjustRightInd w:val="0"/>
        <w:spacing w:after="0"/>
        <w:ind w:left="0"/>
        <w:rPr>
          <w:rFonts w:asciiTheme="minorHAnsi" w:hAnsiTheme="minorHAnsi" w:cstheme="minorHAnsi"/>
          <w:color w:val="000000"/>
          <w:szCs w:val="22"/>
        </w:rPr>
      </w:pPr>
    </w:p>
    <w:p w14:paraId="32CFDA37" w14:textId="6AF345D9" w:rsidR="003B2841" w:rsidRDefault="003B2841" w:rsidP="001D6AE1">
      <w:pPr>
        <w:autoSpaceDE w:val="0"/>
        <w:autoSpaceDN w:val="0"/>
        <w:adjustRightInd w:val="0"/>
        <w:spacing w:after="0"/>
        <w:ind w:left="0"/>
        <w:rPr>
          <w:rFonts w:asciiTheme="minorHAnsi" w:hAnsiTheme="minorHAnsi" w:cstheme="minorHAnsi"/>
          <w:color w:val="000000"/>
          <w:szCs w:val="22"/>
        </w:rPr>
      </w:pPr>
    </w:p>
    <w:p w14:paraId="11CB75D1" w14:textId="77777777" w:rsidR="003B2841" w:rsidRPr="001D6AE1" w:rsidRDefault="003B2841" w:rsidP="001D6AE1">
      <w:pPr>
        <w:autoSpaceDE w:val="0"/>
        <w:autoSpaceDN w:val="0"/>
        <w:adjustRightInd w:val="0"/>
        <w:spacing w:after="0"/>
        <w:ind w:left="0"/>
        <w:rPr>
          <w:rFonts w:asciiTheme="minorHAnsi" w:hAnsiTheme="minorHAnsi" w:cstheme="minorHAnsi"/>
          <w:color w:val="000000"/>
          <w:szCs w:val="22"/>
        </w:rPr>
      </w:pPr>
    </w:p>
    <w:p w14:paraId="1CE441BC" w14:textId="0B8BC93B" w:rsidR="001D6AE1" w:rsidRPr="003D2B09" w:rsidRDefault="001D6AE1" w:rsidP="003D2B09">
      <w:pPr>
        <w:pStyle w:val="ListParagraph"/>
        <w:numPr>
          <w:ilvl w:val="0"/>
          <w:numId w:val="19"/>
        </w:numPr>
        <w:autoSpaceDE w:val="0"/>
        <w:autoSpaceDN w:val="0"/>
        <w:adjustRightInd w:val="0"/>
        <w:spacing w:after="0"/>
        <w:rPr>
          <w:rFonts w:asciiTheme="minorHAnsi" w:hAnsiTheme="minorHAnsi" w:cstheme="minorHAnsi"/>
          <w:b/>
          <w:szCs w:val="22"/>
        </w:rPr>
      </w:pPr>
      <w:r w:rsidRPr="003D2B09">
        <w:rPr>
          <w:rFonts w:asciiTheme="minorHAnsi" w:hAnsiTheme="minorHAnsi" w:cstheme="minorHAnsi"/>
          <w:b/>
          <w:szCs w:val="22"/>
        </w:rPr>
        <w:lastRenderedPageBreak/>
        <w:t xml:space="preserve">Gifts and Gratuities </w:t>
      </w:r>
    </w:p>
    <w:p w14:paraId="7BBA8BD4"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r w:rsidRPr="001D6AE1">
        <w:rPr>
          <w:rFonts w:asciiTheme="minorHAnsi" w:hAnsiTheme="minorHAnsi" w:cstheme="minorHAnsi"/>
          <w:szCs w:val="22"/>
        </w:rPr>
        <w:t>Suppliers must refrain from offering money, gifts of nominal value, special hospitality treatment or other financial benefits that may influence decision making. Although giving gifts is acceptable in some cultures, UOS requests that suppliers respect its policy of not accepting gifts.</w:t>
      </w:r>
    </w:p>
    <w:p w14:paraId="3E934F9C"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r w:rsidRPr="001D6AE1">
        <w:rPr>
          <w:rFonts w:asciiTheme="minorHAnsi" w:hAnsiTheme="minorHAnsi" w:cstheme="minorHAnsi"/>
          <w:szCs w:val="22"/>
        </w:rPr>
        <w:t>Suppliers must also refrain from unethical or compromising practices in relationships, actions or communications. Instead, they are to ensure that any expenditure incurred in connection with any current or future transaction with UOS is transparent and duly incurred in the ordinary course of business.</w:t>
      </w:r>
    </w:p>
    <w:p w14:paraId="3461D66F"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p w14:paraId="286C3419" w14:textId="77777777" w:rsidR="001D6AE1" w:rsidRPr="001D6AE1" w:rsidRDefault="001D6AE1" w:rsidP="003D2B09">
      <w:pPr>
        <w:pStyle w:val="ListParagraph"/>
        <w:numPr>
          <w:ilvl w:val="0"/>
          <w:numId w:val="19"/>
        </w:numPr>
        <w:autoSpaceDE w:val="0"/>
        <w:autoSpaceDN w:val="0"/>
        <w:adjustRightInd w:val="0"/>
        <w:spacing w:after="0"/>
        <w:rPr>
          <w:rFonts w:asciiTheme="minorHAnsi" w:hAnsiTheme="minorHAnsi" w:cstheme="minorHAnsi"/>
          <w:b/>
          <w:szCs w:val="22"/>
        </w:rPr>
      </w:pPr>
      <w:r w:rsidRPr="001D6AE1">
        <w:rPr>
          <w:rFonts w:asciiTheme="minorHAnsi" w:hAnsiTheme="minorHAnsi" w:cstheme="minorHAnsi"/>
          <w:b/>
          <w:szCs w:val="22"/>
        </w:rPr>
        <w:t>Improper Payments</w:t>
      </w:r>
    </w:p>
    <w:p w14:paraId="5A175967"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r w:rsidRPr="001D6AE1">
        <w:rPr>
          <w:rFonts w:asciiTheme="minorHAnsi" w:hAnsiTheme="minorHAnsi" w:cstheme="minorHAnsi"/>
          <w:szCs w:val="22"/>
        </w:rPr>
        <w:t>Bribes, kickbacks, and similar payments for the purpose of obtaining or retaining business related in any way to UOS are strictly prohibited. Employees, suppliers, and agents acting on behalf of UOS are strictly prohibited from accepting such considerations under any circumstances.</w:t>
      </w:r>
    </w:p>
    <w:p w14:paraId="4CCDB8B5" w14:textId="77777777" w:rsidR="001D6AE1" w:rsidRPr="001D6AE1" w:rsidRDefault="001D6AE1" w:rsidP="003D2B09">
      <w:pPr>
        <w:pStyle w:val="0Heading1"/>
        <w:numPr>
          <w:ilvl w:val="0"/>
          <w:numId w:val="19"/>
        </w:numPr>
        <w:rPr>
          <w:rFonts w:asciiTheme="minorHAnsi" w:hAnsiTheme="minorHAnsi" w:cstheme="minorHAnsi"/>
          <w:color w:val="auto"/>
          <w:sz w:val="22"/>
          <w:szCs w:val="22"/>
        </w:rPr>
      </w:pPr>
      <w:r w:rsidRPr="001D6AE1">
        <w:rPr>
          <w:rFonts w:asciiTheme="minorHAnsi" w:hAnsiTheme="minorHAnsi" w:cstheme="minorHAnsi"/>
          <w:color w:val="auto"/>
          <w:sz w:val="22"/>
          <w:szCs w:val="22"/>
        </w:rPr>
        <w:t>Transparency</w:t>
      </w:r>
    </w:p>
    <w:p w14:paraId="0B33CE00" w14:textId="77777777" w:rsidR="001D6AE1" w:rsidRPr="001D6AE1" w:rsidRDefault="001D6AE1" w:rsidP="001D6AE1">
      <w:pPr>
        <w:ind w:left="0"/>
        <w:rPr>
          <w:rFonts w:asciiTheme="minorHAnsi" w:hAnsiTheme="minorHAnsi" w:cstheme="minorHAnsi"/>
          <w:szCs w:val="22"/>
        </w:rPr>
      </w:pPr>
      <w:r w:rsidRPr="001D6AE1">
        <w:rPr>
          <w:rFonts w:asciiTheme="minorHAnsi" w:hAnsiTheme="minorHAnsi" w:cstheme="minorHAnsi"/>
          <w:szCs w:val="22"/>
        </w:rPr>
        <w:t>Suppliers shall provide data and information required by UOS for registration and / or prequalification purposes and any data and information that may be helpful in making award decisions for tenders.</w:t>
      </w:r>
    </w:p>
    <w:p w14:paraId="5D728C19" w14:textId="77777777" w:rsidR="001D6AE1" w:rsidRPr="001D6AE1" w:rsidRDefault="001D6AE1" w:rsidP="001D6AE1">
      <w:pPr>
        <w:ind w:left="0"/>
        <w:rPr>
          <w:rFonts w:asciiTheme="minorHAnsi" w:hAnsiTheme="minorHAnsi" w:cstheme="minorHAnsi"/>
          <w:szCs w:val="22"/>
        </w:rPr>
      </w:pPr>
      <w:r w:rsidRPr="001D6AE1">
        <w:rPr>
          <w:rFonts w:asciiTheme="minorHAnsi" w:hAnsiTheme="minorHAnsi" w:cstheme="minorHAnsi"/>
          <w:szCs w:val="22"/>
        </w:rPr>
        <w:t>Such data and information may include relevant company information, previous projects, trade samples and others.</w:t>
      </w:r>
    </w:p>
    <w:p w14:paraId="0E757A78" w14:textId="77777777" w:rsidR="001D6AE1" w:rsidRPr="001D6AE1" w:rsidRDefault="001D6AE1" w:rsidP="001D6AE1">
      <w:pPr>
        <w:ind w:left="0"/>
        <w:rPr>
          <w:rFonts w:asciiTheme="minorHAnsi" w:hAnsiTheme="minorHAnsi" w:cstheme="minorHAnsi"/>
          <w:szCs w:val="22"/>
        </w:rPr>
      </w:pPr>
      <w:r w:rsidRPr="001D6AE1">
        <w:rPr>
          <w:rFonts w:asciiTheme="minorHAnsi" w:hAnsiTheme="minorHAnsi" w:cstheme="minorHAnsi"/>
          <w:szCs w:val="22"/>
        </w:rPr>
        <w:t>Suppliers shall provide accurate, honest data and information and shall not attempt to conceal or alter factual information.</w:t>
      </w:r>
    </w:p>
    <w:p w14:paraId="4BE809D6" w14:textId="77777777" w:rsidR="001D6AE1" w:rsidRPr="001D6AE1" w:rsidRDefault="001D6AE1" w:rsidP="001D6AE1">
      <w:pPr>
        <w:ind w:left="0"/>
        <w:rPr>
          <w:rFonts w:asciiTheme="minorHAnsi" w:hAnsiTheme="minorHAnsi" w:cstheme="minorHAnsi"/>
          <w:szCs w:val="22"/>
        </w:rPr>
      </w:pPr>
    </w:p>
    <w:p w14:paraId="1FCE3215" w14:textId="77777777" w:rsidR="001D6AE1" w:rsidRPr="001D6AE1" w:rsidRDefault="001D6AE1" w:rsidP="003D2B09">
      <w:pPr>
        <w:pStyle w:val="ListParagraph"/>
        <w:numPr>
          <w:ilvl w:val="0"/>
          <w:numId w:val="19"/>
        </w:numPr>
        <w:autoSpaceDE w:val="0"/>
        <w:autoSpaceDN w:val="0"/>
        <w:adjustRightInd w:val="0"/>
        <w:spacing w:after="0"/>
        <w:rPr>
          <w:rFonts w:asciiTheme="minorHAnsi" w:hAnsiTheme="minorHAnsi" w:cstheme="minorHAnsi"/>
          <w:b/>
          <w:szCs w:val="22"/>
        </w:rPr>
      </w:pPr>
      <w:r w:rsidRPr="001D6AE1">
        <w:rPr>
          <w:rFonts w:asciiTheme="minorHAnsi" w:hAnsiTheme="minorHAnsi" w:cstheme="minorHAnsi"/>
          <w:b/>
          <w:szCs w:val="22"/>
        </w:rPr>
        <w:t>Confidential Information</w:t>
      </w:r>
    </w:p>
    <w:p w14:paraId="44641337" w14:textId="77777777" w:rsidR="001D6AE1" w:rsidRPr="001D6AE1" w:rsidRDefault="001D6AE1" w:rsidP="001D6AE1">
      <w:pPr>
        <w:pStyle w:val="0Normal"/>
        <w:ind w:left="0"/>
        <w:rPr>
          <w:rFonts w:asciiTheme="minorHAnsi" w:hAnsiTheme="minorHAnsi" w:cstheme="minorHAnsi"/>
          <w:szCs w:val="22"/>
        </w:rPr>
      </w:pPr>
      <w:r w:rsidRPr="001D6AE1">
        <w:rPr>
          <w:rFonts w:asciiTheme="minorHAnsi" w:hAnsiTheme="minorHAnsi" w:cstheme="minorHAnsi"/>
          <w:szCs w:val="22"/>
        </w:rPr>
        <w:t>Proper management of confidential information is critical to the success of both UOS and suppliers. Suppliers must protect all UOS information, electronic data, and intellectual property with appropriate safeguards. Any transfer of confidential information must be executed in a way that secures and protects the intellectual property rights of UOS and its suppliers. Supplier personnel shall comply with UOS’s policies concerning information and data security.</w:t>
      </w:r>
    </w:p>
    <w:p w14:paraId="4E41F8AD"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r w:rsidRPr="001D6AE1">
        <w:rPr>
          <w:rFonts w:asciiTheme="minorHAnsi" w:hAnsiTheme="minorHAnsi" w:cstheme="minorHAnsi"/>
          <w:szCs w:val="22"/>
        </w:rPr>
        <w:t>Suppliers may receive our confidential information only as authorized by a signed Confidentiality or Non-Disclosure Agreement and must comply with their obligations to not disclose the confidential information.</w:t>
      </w:r>
    </w:p>
    <w:p w14:paraId="53EDDA91" w14:textId="77777777" w:rsidR="001D6AE1" w:rsidRPr="001D6AE1" w:rsidRDefault="001D6AE1" w:rsidP="001D6AE1">
      <w:pPr>
        <w:pStyle w:val="0Normal"/>
        <w:ind w:left="0"/>
        <w:rPr>
          <w:rFonts w:asciiTheme="minorHAnsi" w:hAnsiTheme="minorHAnsi" w:cstheme="minorHAnsi"/>
          <w:szCs w:val="22"/>
        </w:rPr>
      </w:pPr>
      <w:r w:rsidRPr="001D6AE1">
        <w:rPr>
          <w:rFonts w:asciiTheme="minorHAnsi" w:hAnsiTheme="minorHAnsi" w:cstheme="minorHAnsi"/>
          <w:szCs w:val="22"/>
        </w:rPr>
        <w:t>All Suppliers shall sign a Nondisclosure Agreements (NDAs) with UOS, and shall comply with NDA terms and conditions.</w:t>
      </w:r>
    </w:p>
    <w:p w14:paraId="66E6BEB8" w14:textId="77777777" w:rsidR="001D6AE1" w:rsidRPr="001D6AE1" w:rsidRDefault="001D6AE1" w:rsidP="001D6AE1">
      <w:pPr>
        <w:pStyle w:val="0Normal"/>
        <w:ind w:left="0"/>
        <w:rPr>
          <w:rFonts w:asciiTheme="minorHAnsi" w:hAnsiTheme="minorHAnsi" w:cstheme="minorHAnsi"/>
          <w:szCs w:val="22"/>
        </w:rPr>
      </w:pPr>
      <w:r w:rsidRPr="001D6AE1">
        <w:rPr>
          <w:rFonts w:asciiTheme="minorHAnsi" w:hAnsiTheme="minorHAnsi" w:cstheme="minorHAnsi"/>
          <w:szCs w:val="22"/>
        </w:rPr>
        <w:t>Suppliers shall not make use of intellectual property belonging to other organizations without written permission to do so. If necessary, Suppliers shall provide evidence of such permission to UOS.</w:t>
      </w:r>
    </w:p>
    <w:p w14:paraId="3D2F9513"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r w:rsidRPr="001D6AE1">
        <w:rPr>
          <w:rFonts w:asciiTheme="minorHAnsi" w:hAnsiTheme="minorHAnsi" w:cstheme="minorHAnsi"/>
          <w:szCs w:val="22"/>
        </w:rPr>
        <w:lastRenderedPageBreak/>
        <w:t>All information provided to Suppliers / Service Providers within the Invitation for Tender and Awarding process, and all subsequent communications, is strictly confidential and is not permitted to be disclosed or discussed with any other Suppliers / Service Provider or individuals outside this Invitation for Tender and Awarding.</w:t>
      </w:r>
    </w:p>
    <w:p w14:paraId="6576D9E2"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r w:rsidRPr="001D6AE1">
        <w:rPr>
          <w:rFonts w:asciiTheme="minorHAnsi" w:hAnsiTheme="minorHAnsi" w:cstheme="minorHAnsi"/>
          <w:szCs w:val="22"/>
        </w:rPr>
        <w:t xml:space="preserve">Suppliers are to not use the information except as permitted by the agreement, and to protect the information from misuse or unauthorized disclosure. Our suppliers can expect UOS to similarly safeguard their confidential information when authorization is provided to UOS. Suppliers may not use the UOS trademark, images, or other materials to which UOS owns the copyright, unless explicitly authorized. </w:t>
      </w:r>
    </w:p>
    <w:p w14:paraId="1B91A718"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r w:rsidRPr="001D6AE1">
        <w:rPr>
          <w:rFonts w:asciiTheme="minorHAnsi" w:hAnsiTheme="minorHAnsi" w:cstheme="minorHAnsi"/>
          <w:szCs w:val="22"/>
        </w:rPr>
        <w:t>UOS suppliers must comply with the laws, rules, regulations, and UOS policies of the countries and locations in which they operate. They are expected to be familiar with the business practices of their suppliers and subcontractors, and ensure they operate according to this code of conduct.</w:t>
      </w:r>
    </w:p>
    <w:p w14:paraId="3DC3FE17"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r w:rsidRPr="001D6AE1">
        <w:rPr>
          <w:rFonts w:asciiTheme="minorHAnsi" w:hAnsiTheme="minorHAnsi" w:cstheme="minorHAnsi"/>
          <w:szCs w:val="22"/>
        </w:rPr>
        <w:t xml:space="preserve">UOS may discontinue its relationship with suppliers who fail to comply with this code. </w:t>
      </w:r>
    </w:p>
    <w:p w14:paraId="22F77EF1"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p w14:paraId="0BCD9B13" w14:textId="77777777" w:rsidR="001D6AE1" w:rsidRPr="001D6AE1" w:rsidRDefault="001D6AE1" w:rsidP="003D2B09">
      <w:pPr>
        <w:pStyle w:val="ListParagraph"/>
        <w:numPr>
          <w:ilvl w:val="0"/>
          <w:numId w:val="19"/>
        </w:numPr>
        <w:autoSpaceDE w:val="0"/>
        <w:autoSpaceDN w:val="0"/>
        <w:adjustRightInd w:val="0"/>
        <w:spacing w:after="0"/>
        <w:rPr>
          <w:rFonts w:asciiTheme="minorHAnsi" w:hAnsiTheme="minorHAnsi" w:cstheme="minorHAnsi"/>
          <w:b/>
          <w:szCs w:val="22"/>
        </w:rPr>
      </w:pPr>
      <w:r w:rsidRPr="001D6AE1">
        <w:rPr>
          <w:rFonts w:asciiTheme="minorHAnsi" w:hAnsiTheme="minorHAnsi" w:cstheme="minorHAnsi"/>
          <w:b/>
          <w:szCs w:val="22"/>
        </w:rPr>
        <w:t>Communication</w:t>
      </w:r>
    </w:p>
    <w:p w14:paraId="69C2F23B" w14:textId="5C8F8DD2" w:rsidR="001D6AE1" w:rsidRDefault="001D6AE1" w:rsidP="001D6AE1">
      <w:pPr>
        <w:autoSpaceDE w:val="0"/>
        <w:autoSpaceDN w:val="0"/>
        <w:adjustRightInd w:val="0"/>
        <w:spacing w:after="0"/>
        <w:ind w:left="0"/>
        <w:rPr>
          <w:rFonts w:asciiTheme="minorHAnsi" w:hAnsiTheme="minorHAnsi" w:cstheme="minorHAnsi"/>
          <w:szCs w:val="22"/>
        </w:rPr>
      </w:pPr>
      <w:r w:rsidRPr="001D6AE1">
        <w:rPr>
          <w:rFonts w:asciiTheme="minorHAnsi" w:hAnsiTheme="minorHAnsi" w:cstheme="minorHAnsi"/>
          <w:szCs w:val="22"/>
        </w:rPr>
        <w:t>Suppliers are expected to assist UOS in enforcing this Supplier Code of Conduct by communicating its principles to their supervisors, employees, and suppliers.</w:t>
      </w:r>
    </w:p>
    <w:p w14:paraId="0A408D88" w14:textId="77777777" w:rsidR="008E7629" w:rsidRPr="001D6AE1" w:rsidRDefault="008E7629" w:rsidP="001D6AE1">
      <w:pPr>
        <w:autoSpaceDE w:val="0"/>
        <w:autoSpaceDN w:val="0"/>
        <w:adjustRightInd w:val="0"/>
        <w:spacing w:after="0"/>
        <w:ind w:left="0"/>
        <w:rPr>
          <w:rFonts w:asciiTheme="minorHAnsi" w:hAnsiTheme="minorHAnsi" w:cstheme="minorHAnsi"/>
          <w:szCs w:val="22"/>
        </w:rPr>
      </w:pPr>
    </w:p>
    <w:p w14:paraId="76D3A276" w14:textId="77777777" w:rsidR="001D6AE1" w:rsidRPr="001D6AE1" w:rsidRDefault="001D6AE1" w:rsidP="003B2841">
      <w:pPr>
        <w:pStyle w:val="Heading2"/>
      </w:pPr>
      <w:r w:rsidRPr="001D6AE1">
        <w:t>Agreement and acknowledgement</w:t>
      </w:r>
    </w:p>
    <w:p w14:paraId="300C91B0" w14:textId="7DE251FA" w:rsidR="001D6AE1" w:rsidRDefault="001D6AE1" w:rsidP="001D6AE1">
      <w:pPr>
        <w:autoSpaceDE w:val="0"/>
        <w:autoSpaceDN w:val="0"/>
        <w:adjustRightInd w:val="0"/>
        <w:spacing w:after="0"/>
        <w:ind w:left="0"/>
        <w:rPr>
          <w:rFonts w:asciiTheme="minorHAnsi" w:hAnsiTheme="minorHAnsi" w:cstheme="minorHAnsi"/>
          <w:szCs w:val="22"/>
        </w:rPr>
      </w:pPr>
      <w:r w:rsidRPr="001D6AE1">
        <w:rPr>
          <w:rFonts w:asciiTheme="minorHAnsi" w:hAnsiTheme="minorHAnsi" w:cstheme="minorHAnsi"/>
          <w:szCs w:val="22"/>
        </w:rPr>
        <w:t>If you have any relatives working at UOS please state their name(s) and position in the space below:</w:t>
      </w:r>
    </w:p>
    <w:p w14:paraId="6E6FDD80" w14:textId="77777777" w:rsidR="003B2841" w:rsidRPr="001D6AE1" w:rsidRDefault="003B2841" w:rsidP="001D6AE1">
      <w:pPr>
        <w:autoSpaceDE w:val="0"/>
        <w:autoSpaceDN w:val="0"/>
        <w:adjustRightInd w:val="0"/>
        <w:spacing w:after="0"/>
        <w:ind w:left="0"/>
        <w:rPr>
          <w:rFonts w:asciiTheme="minorHAnsi" w:hAnsiTheme="minorHAnsi" w:cstheme="minorHAnsi"/>
          <w:szCs w:val="22"/>
        </w:rPr>
      </w:pPr>
    </w:p>
    <w:tbl>
      <w:tblPr>
        <w:tblStyle w:val="TableGrid"/>
        <w:tblW w:w="0" w:type="auto"/>
        <w:tblInd w:w="0" w:type="dxa"/>
        <w:tblLook w:val="04A0" w:firstRow="1" w:lastRow="0" w:firstColumn="1" w:lastColumn="0" w:noHBand="0" w:noVBand="1"/>
      </w:tblPr>
      <w:tblGrid>
        <w:gridCol w:w="633"/>
        <w:gridCol w:w="4409"/>
        <w:gridCol w:w="4308"/>
      </w:tblGrid>
      <w:tr w:rsidR="001D6AE1" w:rsidRPr="001D6AE1" w14:paraId="41D5940D" w14:textId="77777777" w:rsidTr="001D6AE1">
        <w:trPr>
          <w:trHeight w:val="354"/>
        </w:trPr>
        <w:tc>
          <w:tcPr>
            <w:tcW w:w="639" w:type="dxa"/>
            <w:tcBorders>
              <w:top w:val="single" w:sz="4" w:space="0" w:color="808080"/>
              <w:left w:val="single" w:sz="4" w:space="0" w:color="808080"/>
              <w:bottom w:val="single" w:sz="4" w:space="0" w:color="808080"/>
              <w:right w:val="single" w:sz="4" w:space="0" w:color="808080"/>
            </w:tcBorders>
            <w:shd w:val="clear" w:color="auto" w:fill="D9D9D9" w:themeFill="background1" w:themeFillShade="D9"/>
            <w:hideMark/>
          </w:tcPr>
          <w:p w14:paraId="6D3DDA7C" w14:textId="77777777" w:rsidR="001D6AE1" w:rsidRPr="001D6AE1" w:rsidRDefault="001D6AE1" w:rsidP="001D6AE1">
            <w:pPr>
              <w:autoSpaceDE w:val="0"/>
              <w:autoSpaceDN w:val="0"/>
              <w:adjustRightInd w:val="0"/>
              <w:spacing w:after="0"/>
              <w:ind w:left="0"/>
              <w:rPr>
                <w:rFonts w:asciiTheme="minorHAnsi" w:hAnsiTheme="minorHAnsi" w:cstheme="minorHAnsi"/>
                <w:b/>
                <w:bCs/>
                <w:szCs w:val="20"/>
              </w:rPr>
            </w:pPr>
            <w:r w:rsidRPr="001D6AE1">
              <w:rPr>
                <w:rFonts w:asciiTheme="minorHAnsi" w:hAnsiTheme="minorHAnsi" w:cstheme="minorHAnsi"/>
                <w:b/>
                <w:bCs/>
                <w:szCs w:val="20"/>
              </w:rPr>
              <w:t>No.</w:t>
            </w:r>
          </w:p>
        </w:tc>
        <w:tc>
          <w:tcPr>
            <w:tcW w:w="4584" w:type="dxa"/>
            <w:tcBorders>
              <w:top w:val="single" w:sz="4" w:space="0" w:color="808080"/>
              <w:left w:val="single" w:sz="4" w:space="0" w:color="808080"/>
              <w:bottom w:val="single" w:sz="4" w:space="0" w:color="808080"/>
              <w:right w:val="single" w:sz="4" w:space="0" w:color="808080"/>
            </w:tcBorders>
            <w:shd w:val="clear" w:color="auto" w:fill="D9D9D9" w:themeFill="background1" w:themeFillShade="D9"/>
            <w:hideMark/>
          </w:tcPr>
          <w:p w14:paraId="78F3C72C" w14:textId="77777777" w:rsidR="001D6AE1" w:rsidRPr="001D6AE1" w:rsidRDefault="001D6AE1" w:rsidP="001D6AE1">
            <w:pPr>
              <w:autoSpaceDE w:val="0"/>
              <w:autoSpaceDN w:val="0"/>
              <w:adjustRightInd w:val="0"/>
              <w:spacing w:after="0"/>
              <w:ind w:left="0"/>
              <w:rPr>
                <w:rFonts w:asciiTheme="minorHAnsi" w:hAnsiTheme="minorHAnsi" w:cstheme="minorHAnsi"/>
                <w:b/>
                <w:bCs/>
                <w:szCs w:val="20"/>
              </w:rPr>
            </w:pPr>
            <w:r w:rsidRPr="001D6AE1">
              <w:rPr>
                <w:rFonts w:asciiTheme="minorHAnsi" w:hAnsiTheme="minorHAnsi" w:cstheme="minorHAnsi"/>
                <w:b/>
                <w:bCs/>
                <w:szCs w:val="20"/>
              </w:rPr>
              <w:t>UOS Employee Name</w:t>
            </w:r>
          </w:p>
        </w:tc>
        <w:tc>
          <w:tcPr>
            <w:tcW w:w="4469" w:type="dxa"/>
            <w:tcBorders>
              <w:top w:val="single" w:sz="4" w:space="0" w:color="808080"/>
              <w:left w:val="single" w:sz="4" w:space="0" w:color="808080"/>
              <w:bottom w:val="single" w:sz="4" w:space="0" w:color="808080"/>
              <w:right w:val="single" w:sz="4" w:space="0" w:color="808080"/>
            </w:tcBorders>
            <w:shd w:val="clear" w:color="auto" w:fill="D9D9D9" w:themeFill="background1" w:themeFillShade="D9"/>
            <w:hideMark/>
          </w:tcPr>
          <w:p w14:paraId="3B2CD434" w14:textId="77777777" w:rsidR="001D6AE1" w:rsidRPr="001D6AE1" w:rsidRDefault="001D6AE1" w:rsidP="001D6AE1">
            <w:pPr>
              <w:autoSpaceDE w:val="0"/>
              <w:autoSpaceDN w:val="0"/>
              <w:adjustRightInd w:val="0"/>
              <w:spacing w:after="0"/>
              <w:ind w:left="0"/>
              <w:rPr>
                <w:rFonts w:asciiTheme="minorHAnsi" w:hAnsiTheme="minorHAnsi" w:cstheme="minorHAnsi"/>
                <w:b/>
                <w:bCs/>
                <w:szCs w:val="20"/>
              </w:rPr>
            </w:pPr>
            <w:r w:rsidRPr="001D6AE1">
              <w:rPr>
                <w:rFonts w:asciiTheme="minorHAnsi" w:hAnsiTheme="minorHAnsi" w:cstheme="minorHAnsi"/>
                <w:b/>
                <w:bCs/>
                <w:szCs w:val="20"/>
              </w:rPr>
              <w:t>Employee Designation</w:t>
            </w:r>
          </w:p>
        </w:tc>
      </w:tr>
      <w:tr w:rsidR="001D6AE1" w:rsidRPr="001D6AE1" w14:paraId="2E1E1A86" w14:textId="77777777" w:rsidTr="001D6AE1">
        <w:trPr>
          <w:trHeight w:val="384"/>
        </w:trPr>
        <w:tc>
          <w:tcPr>
            <w:tcW w:w="639" w:type="dxa"/>
            <w:tcBorders>
              <w:top w:val="single" w:sz="4" w:space="0" w:color="808080"/>
              <w:left w:val="single" w:sz="4" w:space="0" w:color="808080"/>
              <w:bottom w:val="single" w:sz="4" w:space="0" w:color="808080"/>
              <w:right w:val="single" w:sz="4" w:space="0" w:color="808080"/>
            </w:tcBorders>
          </w:tcPr>
          <w:p w14:paraId="399D834D" w14:textId="77777777" w:rsidR="001D6AE1" w:rsidRPr="001D6AE1" w:rsidRDefault="001D6AE1" w:rsidP="001D6AE1">
            <w:pPr>
              <w:autoSpaceDE w:val="0"/>
              <w:autoSpaceDN w:val="0"/>
              <w:adjustRightInd w:val="0"/>
              <w:spacing w:after="0"/>
              <w:ind w:left="0"/>
              <w:rPr>
                <w:rFonts w:asciiTheme="minorHAnsi" w:hAnsiTheme="minorHAnsi" w:cstheme="minorHAnsi"/>
                <w:sz w:val="22"/>
                <w:szCs w:val="22"/>
              </w:rPr>
            </w:pPr>
          </w:p>
        </w:tc>
        <w:tc>
          <w:tcPr>
            <w:tcW w:w="4584" w:type="dxa"/>
            <w:tcBorders>
              <w:top w:val="single" w:sz="4" w:space="0" w:color="808080"/>
              <w:left w:val="single" w:sz="4" w:space="0" w:color="808080"/>
              <w:bottom w:val="single" w:sz="4" w:space="0" w:color="808080"/>
              <w:right w:val="single" w:sz="4" w:space="0" w:color="808080"/>
            </w:tcBorders>
          </w:tcPr>
          <w:p w14:paraId="6AC2ECDF"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tc>
        <w:tc>
          <w:tcPr>
            <w:tcW w:w="4469" w:type="dxa"/>
            <w:tcBorders>
              <w:top w:val="single" w:sz="4" w:space="0" w:color="808080"/>
              <w:left w:val="single" w:sz="4" w:space="0" w:color="808080"/>
              <w:bottom w:val="single" w:sz="4" w:space="0" w:color="808080"/>
              <w:right w:val="single" w:sz="4" w:space="0" w:color="808080"/>
            </w:tcBorders>
          </w:tcPr>
          <w:p w14:paraId="5306274A"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tc>
      </w:tr>
      <w:tr w:rsidR="001D6AE1" w:rsidRPr="001D6AE1" w14:paraId="25A2E9D5" w14:textId="77777777" w:rsidTr="001D6AE1">
        <w:trPr>
          <w:trHeight w:val="369"/>
        </w:trPr>
        <w:tc>
          <w:tcPr>
            <w:tcW w:w="639" w:type="dxa"/>
            <w:tcBorders>
              <w:top w:val="single" w:sz="4" w:space="0" w:color="808080"/>
              <w:left w:val="single" w:sz="4" w:space="0" w:color="808080"/>
              <w:bottom w:val="single" w:sz="4" w:space="0" w:color="808080"/>
              <w:right w:val="single" w:sz="4" w:space="0" w:color="808080"/>
            </w:tcBorders>
          </w:tcPr>
          <w:p w14:paraId="53EC5BF2"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tc>
        <w:tc>
          <w:tcPr>
            <w:tcW w:w="4584" w:type="dxa"/>
            <w:tcBorders>
              <w:top w:val="single" w:sz="4" w:space="0" w:color="808080"/>
              <w:left w:val="single" w:sz="4" w:space="0" w:color="808080"/>
              <w:bottom w:val="single" w:sz="4" w:space="0" w:color="808080"/>
              <w:right w:val="single" w:sz="4" w:space="0" w:color="808080"/>
            </w:tcBorders>
          </w:tcPr>
          <w:p w14:paraId="2D9047E1"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tc>
        <w:tc>
          <w:tcPr>
            <w:tcW w:w="4469" w:type="dxa"/>
            <w:tcBorders>
              <w:top w:val="single" w:sz="4" w:space="0" w:color="808080"/>
              <w:left w:val="single" w:sz="4" w:space="0" w:color="808080"/>
              <w:bottom w:val="single" w:sz="4" w:space="0" w:color="808080"/>
              <w:right w:val="single" w:sz="4" w:space="0" w:color="808080"/>
            </w:tcBorders>
          </w:tcPr>
          <w:p w14:paraId="13224AF9"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tc>
      </w:tr>
      <w:tr w:rsidR="003B2841" w:rsidRPr="001D6AE1" w14:paraId="39995333" w14:textId="77777777" w:rsidTr="001D6AE1">
        <w:trPr>
          <w:trHeight w:val="369"/>
        </w:trPr>
        <w:tc>
          <w:tcPr>
            <w:tcW w:w="639" w:type="dxa"/>
            <w:tcBorders>
              <w:top w:val="single" w:sz="4" w:space="0" w:color="808080"/>
              <w:left w:val="single" w:sz="4" w:space="0" w:color="808080"/>
              <w:bottom w:val="single" w:sz="4" w:space="0" w:color="808080"/>
              <w:right w:val="single" w:sz="4" w:space="0" w:color="808080"/>
            </w:tcBorders>
          </w:tcPr>
          <w:p w14:paraId="0FC91A8A" w14:textId="77777777" w:rsidR="003B2841" w:rsidRPr="001D6AE1" w:rsidRDefault="003B2841" w:rsidP="001D6AE1">
            <w:pPr>
              <w:autoSpaceDE w:val="0"/>
              <w:autoSpaceDN w:val="0"/>
              <w:adjustRightInd w:val="0"/>
              <w:spacing w:after="0"/>
              <w:ind w:left="0"/>
              <w:rPr>
                <w:rFonts w:asciiTheme="minorHAnsi" w:hAnsiTheme="minorHAnsi" w:cstheme="minorHAnsi"/>
                <w:szCs w:val="22"/>
              </w:rPr>
            </w:pPr>
          </w:p>
        </w:tc>
        <w:tc>
          <w:tcPr>
            <w:tcW w:w="4584" w:type="dxa"/>
            <w:tcBorders>
              <w:top w:val="single" w:sz="4" w:space="0" w:color="808080"/>
              <w:left w:val="single" w:sz="4" w:space="0" w:color="808080"/>
              <w:bottom w:val="single" w:sz="4" w:space="0" w:color="808080"/>
              <w:right w:val="single" w:sz="4" w:space="0" w:color="808080"/>
            </w:tcBorders>
          </w:tcPr>
          <w:p w14:paraId="310BC9A6" w14:textId="77777777" w:rsidR="003B2841" w:rsidRPr="001D6AE1" w:rsidRDefault="003B2841" w:rsidP="001D6AE1">
            <w:pPr>
              <w:autoSpaceDE w:val="0"/>
              <w:autoSpaceDN w:val="0"/>
              <w:adjustRightInd w:val="0"/>
              <w:spacing w:after="0"/>
              <w:ind w:left="0"/>
              <w:rPr>
                <w:rFonts w:asciiTheme="minorHAnsi" w:hAnsiTheme="minorHAnsi" w:cstheme="minorHAnsi"/>
                <w:szCs w:val="22"/>
              </w:rPr>
            </w:pPr>
          </w:p>
        </w:tc>
        <w:tc>
          <w:tcPr>
            <w:tcW w:w="4469" w:type="dxa"/>
            <w:tcBorders>
              <w:top w:val="single" w:sz="4" w:space="0" w:color="808080"/>
              <w:left w:val="single" w:sz="4" w:space="0" w:color="808080"/>
              <w:bottom w:val="single" w:sz="4" w:space="0" w:color="808080"/>
              <w:right w:val="single" w:sz="4" w:space="0" w:color="808080"/>
            </w:tcBorders>
          </w:tcPr>
          <w:p w14:paraId="2C43A18C" w14:textId="77777777" w:rsidR="003B2841" w:rsidRPr="001D6AE1" w:rsidRDefault="003B2841" w:rsidP="001D6AE1">
            <w:pPr>
              <w:autoSpaceDE w:val="0"/>
              <w:autoSpaceDN w:val="0"/>
              <w:adjustRightInd w:val="0"/>
              <w:spacing w:after="0"/>
              <w:ind w:left="0"/>
              <w:rPr>
                <w:rFonts w:asciiTheme="minorHAnsi" w:hAnsiTheme="minorHAnsi" w:cstheme="minorHAnsi"/>
                <w:szCs w:val="22"/>
              </w:rPr>
            </w:pPr>
          </w:p>
        </w:tc>
      </w:tr>
    </w:tbl>
    <w:p w14:paraId="75F14CC5"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p w14:paraId="451B0AD7" w14:textId="77777777" w:rsidR="001D6AE1" w:rsidRPr="001D6AE1" w:rsidRDefault="001D6AE1" w:rsidP="001D6AE1">
      <w:pPr>
        <w:pStyle w:val="0Normal"/>
        <w:ind w:left="0"/>
        <w:rPr>
          <w:rFonts w:asciiTheme="minorHAnsi" w:hAnsiTheme="minorHAnsi" w:cstheme="minorHAnsi"/>
          <w:szCs w:val="22"/>
        </w:rPr>
      </w:pPr>
      <w:r w:rsidRPr="001D6AE1">
        <w:rPr>
          <w:rFonts w:asciiTheme="minorHAnsi" w:hAnsiTheme="minorHAnsi" w:cstheme="minorHAnsi"/>
          <w:szCs w:val="22"/>
        </w:rPr>
        <w:t xml:space="preserve">If you or any of your staff have previously worked for UOS state the date you/they left the organization: </w:t>
      </w:r>
    </w:p>
    <w:tbl>
      <w:tblPr>
        <w:tblStyle w:val="TableGrid"/>
        <w:tblW w:w="0" w:type="auto"/>
        <w:tblInd w:w="0" w:type="dxa"/>
        <w:tblLook w:val="04A0" w:firstRow="1" w:lastRow="0" w:firstColumn="1" w:lastColumn="0" w:noHBand="0" w:noVBand="1"/>
      </w:tblPr>
      <w:tblGrid>
        <w:gridCol w:w="637"/>
        <w:gridCol w:w="3123"/>
        <w:gridCol w:w="2914"/>
        <w:gridCol w:w="2676"/>
      </w:tblGrid>
      <w:tr w:rsidR="001D6AE1" w:rsidRPr="001D6AE1" w14:paraId="3991C288" w14:textId="77777777" w:rsidTr="001D6AE1">
        <w:trPr>
          <w:trHeight w:val="335"/>
        </w:trPr>
        <w:tc>
          <w:tcPr>
            <w:tcW w:w="645" w:type="dxa"/>
            <w:tcBorders>
              <w:top w:val="single" w:sz="4" w:space="0" w:color="808080"/>
              <w:left w:val="single" w:sz="4" w:space="0" w:color="808080"/>
              <w:bottom w:val="single" w:sz="4" w:space="0" w:color="808080"/>
              <w:right w:val="single" w:sz="4" w:space="0" w:color="808080"/>
            </w:tcBorders>
            <w:hideMark/>
          </w:tcPr>
          <w:p w14:paraId="397BBBE3" w14:textId="77777777" w:rsidR="001D6AE1" w:rsidRPr="001D6AE1" w:rsidRDefault="001D6AE1" w:rsidP="001D6AE1">
            <w:pPr>
              <w:autoSpaceDE w:val="0"/>
              <w:autoSpaceDN w:val="0"/>
              <w:adjustRightInd w:val="0"/>
              <w:spacing w:after="0"/>
              <w:ind w:left="0"/>
              <w:rPr>
                <w:rFonts w:asciiTheme="minorHAnsi" w:hAnsiTheme="minorHAnsi" w:cstheme="minorHAnsi"/>
                <w:b/>
                <w:bCs/>
                <w:szCs w:val="20"/>
              </w:rPr>
            </w:pPr>
            <w:r w:rsidRPr="001D6AE1">
              <w:rPr>
                <w:rFonts w:asciiTheme="minorHAnsi" w:hAnsiTheme="minorHAnsi" w:cstheme="minorHAnsi"/>
                <w:b/>
                <w:bCs/>
                <w:szCs w:val="20"/>
              </w:rPr>
              <w:t>No.</w:t>
            </w:r>
          </w:p>
        </w:tc>
        <w:tc>
          <w:tcPr>
            <w:tcW w:w="3243" w:type="dxa"/>
            <w:tcBorders>
              <w:top w:val="single" w:sz="4" w:space="0" w:color="808080"/>
              <w:left w:val="single" w:sz="4" w:space="0" w:color="808080"/>
              <w:bottom w:val="single" w:sz="4" w:space="0" w:color="808080"/>
              <w:right w:val="single" w:sz="4" w:space="0" w:color="808080"/>
            </w:tcBorders>
            <w:hideMark/>
          </w:tcPr>
          <w:p w14:paraId="5AE3CEE0" w14:textId="77777777" w:rsidR="001D6AE1" w:rsidRPr="001D6AE1" w:rsidRDefault="001D6AE1" w:rsidP="001D6AE1">
            <w:pPr>
              <w:autoSpaceDE w:val="0"/>
              <w:autoSpaceDN w:val="0"/>
              <w:adjustRightInd w:val="0"/>
              <w:spacing w:after="0"/>
              <w:ind w:left="0"/>
              <w:rPr>
                <w:rFonts w:asciiTheme="minorHAnsi" w:hAnsiTheme="minorHAnsi" w:cstheme="minorHAnsi"/>
                <w:b/>
                <w:bCs/>
                <w:szCs w:val="20"/>
              </w:rPr>
            </w:pPr>
            <w:r w:rsidRPr="001D6AE1">
              <w:rPr>
                <w:rFonts w:asciiTheme="minorHAnsi" w:hAnsiTheme="minorHAnsi" w:cstheme="minorHAnsi"/>
                <w:b/>
                <w:bCs/>
                <w:szCs w:val="20"/>
              </w:rPr>
              <w:t>Previous UOS Employee Name</w:t>
            </w:r>
          </w:p>
        </w:tc>
        <w:tc>
          <w:tcPr>
            <w:tcW w:w="3011" w:type="dxa"/>
            <w:tcBorders>
              <w:top w:val="single" w:sz="4" w:space="0" w:color="808080"/>
              <w:left w:val="single" w:sz="4" w:space="0" w:color="808080"/>
              <w:bottom w:val="single" w:sz="4" w:space="0" w:color="808080"/>
              <w:right w:val="single" w:sz="4" w:space="0" w:color="808080"/>
            </w:tcBorders>
            <w:hideMark/>
          </w:tcPr>
          <w:p w14:paraId="7084584A" w14:textId="77777777" w:rsidR="001D6AE1" w:rsidRPr="001D6AE1" w:rsidRDefault="001D6AE1" w:rsidP="001D6AE1">
            <w:pPr>
              <w:autoSpaceDE w:val="0"/>
              <w:autoSpaceDN w:val="0"/>
              <w:adjustRightInd w:val="0"/>
              <w:spacing w:after="0"/>
              <w:ind w:left="0"/>
              <w:rPr>
                <w:rFonts w:asciiTheme="minorHAnsi" w:hAnsiTheme="minorHAnsi" w:cstheme="minorHAnsi"/>
                <w:b/>
                <w:bCs/>
                <w:szCs w:val="20"/>
              </w:rPr>
            </w:pPr>
            <w:r w:rsidRPr="001D6AE1">
              <w:rPr>
                <w:rFonts w:asciiTheme="minorHAnsi" w:hAnsiTheme="minorHAnsi" w:cstheme="minorHAnsi"/>
                <w:b/>
                <w:bCs/>
                <w:szCs w:val="20"/>
              </w:rPr>
              <w:t>Department</w:t>
            </w:r>
          </w:p>
        </w:tc>
        <w:tc>
          <w:tcPr>
            <w:tcW w:w="2792" w:type="dxa"/>
            <w:tcBorders>
              <w:top w:val="single" w:sz="4" w:space="0" w:color="808080"/>
              <w:left w:val="single" w:sz="4" w:space="0" w:color="808080"/>
              <w:bottom w:val="single" w:sz="4" w:space="0" w:color="808080"/>
              <w:right w:val="single" w:sz="4" w:space="0" w:color="808080"/>
            </w:tcBorders>
            <w:hideMark/>
          </w:tcPr>
          <w:p w14:paraId="203C04D2" w14:textId="77777777" w:rsidR="001D6AE1" w:rsidRPr="001D6AE1" w:rsidRDefault="001D6AE1" w:rsidP="001D6AE1">
            <w:pPr>
              <w:autoSpaceDE w:val="0"/>
              <w:autoSpaceDN w:val="0"/>
              <w:adjustRightInd w:val="0"/>
              <w:spacing w:after="0"/>
              <w:ind w:left="0"/>
              <w:rPr>
                <w:rFonts w:asciiTheme="minorHAnsi" w:hAnsiTheme="minorHAnsi" w:cstheme="minorHAnsi"/>
                <w:b/>
                <w:bCs/>
                <w:szCs w:val="20"/>
              </w:rPr>
            </w:pPr>
            <w:r w:rsidRPr="001D6AE1">
              <w:rPr>
                <w:rFonts w:asciiTheme="minorHAnsi" w:hAnsiTheme="minorHAnsi" w:cstheme="minorHAnsi"/>
                <w:b/>
                <w:bCs/>
                <w:szCs w:val="20"/>
              </w:rPr>
              <w:t>Last Work Date at UOS</w:t>
            </w:r>
          </w:p>
        </w:tc>
      </w:tr>
      <w:tr w:rsidR="001D6AE1" w:rsidRPr="001D6AE1" w14:paraId="2F12120C" w14:textId="77777777" w:rsidTr="001D6AE1">
        <w:trPr>
          <w:trHeight w:val="365"/>
        </w:trPr>
        <w:tc>
          <w:tcPr>
            <w:tcW w:w="645" w:type="dxa"/>
            <w:tcBorders>
              <w:top w:val="single" w:sz="4" w:space="0" w:color="808080"/>
              <w:left w:val="single" w:sz="4" w:space="0" w:color="808080"/>
              <w:bottom w:val="single" w:sz="4" w:space="0" w:color="808080"/>
              <w:right w:val="single" w:sz="4" w:space="0" w:color="808080"/>
            </w:tcBorders>
          </w:tcPr>
          <w:p w14:paraId="27E0B7DF" w14:textId="77777777" w:rsidR="001D6AE1" w:rsidRPr="001D6AE1" w:rsidRDefault="001D6AE1" w:rsidP="001D6AE1">
            <w:pPr>
              <w:autoSpaceDE w:val="0"/>
              <w:autoSpaceDN w:val="0"/>
              <w:adjustRightInd w:val="0"/>
              <w:spacing w:after="0"/>
              <w:ind w:left="0"/>
              <w:rPr>
                <w:rFonts w:asciiTheme="minorHAnsi" w:hAnsiTheme="minorHAnsi" w:cstheme="minorHAnsi"/>
                <w:sz w:val="22"/>
                <w:szCs w:val="22"/>
              </w:rPr>
            </w:pPr>
          </w:p>
        </w:tc>
        <w:tc>
          <w:tcPr>
            <w:tcW w:w="3243" w:type="dxa"/>
            <w:tcBorders>
              <w:top w:val="single" w:sz="4" w:space="0" w:color="808080"/>
              <w:left w:val="single" w:sz="4" w:space="0" w:color="808080"/>
              <w:bottom w:val="single" w:sz="4" w:space="0" w:color="808080"/>
              <w:right w:val="single" w:sz="4" w:space="0" w:color="808080"/>
            </w:tcBorders>
          </w:tcPr>
          <w:p w14:paraId="72FA9F08"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tc>
        <w:tc>
          <w:tcPr>
            <w:tcW w:w="3011" w:type="dxa"/>
            <w:tcBorders>
              <w:top w:val="single" w:sz="4" w:space="0" w:color="808080"/>
              <w:left w:val="single" w:sz="4" w:space="0" w:color="808080"/>
              <w:bottom w:val="single" w:sz="4" w:space="0" w:color="808080"/>
              <w:right w:val="single" w:sz="4" w:space="0" w:color="808080"/>
            </w:tcBorders>
          </w:tcPr>
          <w:p w14:paraId="13B3D884"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tc>
        <w:tc>
          <w:tcPr>
            <w:tcW w:w="2792" w:type="dxa"/>
            <w:tcBorders>
              <w:top w:val="single" w:sz="4" w:space="0" w:color="808080"/>
              <w:left w:val="single" w:sz="4" w:space="0" w:color="808080"/>
              <w:bottom w:val="single" w:sz="4" w:space="0" w:color="808080"/>
              <w:right w:val="single" w:sz="4" w:space="0" w:color="808080"/>
            </w:tcBorders>
          </w:tcPr>
          <w:p w14:paraId="7585F4ED"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tc>
      </w:tr>
      <w:tr w:rsidR="001D6AE1" w:rsidRPr="001D6AE1" w14:paraId="46B7DFD1" w14:textId="77777777" w:rsidTr="001D6AE1">
        <w:trPr>
          <w:trHeight w:val="350"/>
        </w:trPr>
        <w:tc>
          <w:tcPr>
            <w:tcW w:w="645" w:type="dxa"/>
            <w:tcBorders>
              <w:top w:val="single" w:sz="4" w:space="0" w:color="808080"/>
              <w:left w:val="single" w:sz="4" w:space="0" w:color="808080"/>
              <w:bottom w:val="single" w:sz="4" w:space="0" w:color="808080"/>
              <w:right w:val="single" w:sz="4" w:space="0" w:color="808080"/>
            </w:tcBorders>
          </w:tcPr>
          <w:p w14:paraId="634B2A34"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tc>
        <w:tc>
          <w:tcPr>
            <w:tcW w:w="3243" w:type="dxa"/>
            <w:tcBorders>
              <w:top w:val="single" w:sz="4" w:space="0" w:color="808080"/>
              <w:left w:val="single" w:sz="4" w:space="0" w:color="808080"/>
              <w:bottom w:val="single" w:sz="4" w:space="0" w:color="808080"/>
              <w:right w:val="single" w:sz="4" w:space="0" w:color="808080"/>
            </w:tcBorders>
          </w:tcPr>
          <w:p w14:paraId="559EF08B"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tc>
        <w:tc>
          <w:tcPr>
            <w:tcW w:w="3011" w:type="dxa"/>
            <w:tcBorders>
              <w:top w:val="single" w:sz="4" w:space="0" w:color="808080"/>
              <w:left w:val="single" w:sz="4" w:space="0" w:color="808080"/>
              <w:bottom w:val="single" w:sz="4" w:space="0" w:color="808080"/>
              <w:right w:val="single" w:sz="4" w:space="0" w:color="808080"/>
            </w:tcBorders>
          </w:tcPr>
          <w:p w14:paraId="4D7EF4AA"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tc>
        <w:tc>
          <w:tcPr>
            <w:tcW w:w="2792" w:type="dxa"/>
            <w:tcBorders>
              <w:top w:val="single" w:sz="4" w:space="0" w:color="808080"/>
              <w:left w:val="single" w:sz="4" w:space="0" w:color="808080"/>
              <w:bottom w:val="single" w:sz="4" w:space="0" w:color="808080"/>
              <w:right w:val="single" w:sz="4" w:space="0" w:color="808080"/>
            </w:tcBorders>
          </w:tcPr>
          <w:p w14:paraId="1A7CF461" w14:textId="77777777" w:rsidR="001D6AE1" w:rsidRPr="001D6AE1" w:rsidRDefault="001D6AE1" w:rsidP="001D6AE1">
            <w:pPr>
              <w:autoSpaceDE w:val="0"/>
              <w:autoSpaceDN w:val="0"/>
              <w:adjustRightInd w:val="0"/>
              <w:spacing w:after="0"/>
              <w:ind w:left="0"/>
              <w:rPr>
                <w:rFonts w:asciiTheme="minorHAnsi" w:hAnsiTheme="minorHAnsi" w:cstheme="minorHAnsi"/>
                <w:szCs w:val="22"/>
              </w:rPr>
            </w:pPr>
          </w:p>
        </w:tc>
      </w:tr>
    </w:tbl>
    <w:p w14:paraId="17121FB5" w14:textId="77777777" w:rsidR="001D6AE1" w:rsidRPr="001D6AE1" w:rsidRDefault="001D6AE1" w:rsidP="001D6AE1">
      <w:pPr>
        <w:pStyle w:val="0Normal"/>
        <w:ind w:left="0"/>
        <w:rPr>
          <w:rFonts w:asciiTheme="minorHAnsi" w:hAnsiTheme="minorHAnsi" w:cstheme="minorHAnsi"/>
          <w:szCs w:val="22"/>
        </w:rPr>
      </w:pPr>
    </w:p>
    <w:p w14:paraId="2D5720DF" w14:textId="77777777" w:rsidR="001D6AE1" w:rsidRPr="001D6AE1" w:rsidRDefault="001D6AE1" w:rsidP="001D6AE1">
      <w:pPr>
        <w:pStyle w:val="0Normal"/>
        <w:ind w:left="0"/>
        <w:rPr>
          <w:rFonts w:asciiTheme="minorHAnsi" w:hAnsiTheme="minorHAnsi" w:cstheme="minorHAnsi"/>
          <w:szCs w:val="22"/>
        </w:rPr>
      </w:pPr>
      <w:r w:rsidRPr="001D6AE1">
        <w:rPr>
          <w:rFonts w:asciiTheme="minorHAnsi" w:hAnsiTheme="minorHAnsi" w:cstheme="minorHAnsi"/>
          <w:szCs w:val="22"/>
        </w:rPr>
        <w:lastRenderedPageBreak/>
        <w:t>For and on behalf of:</w:t>
      </w:r>
    </w:p>
    <w:tbl>
      <w:tblPr>
        <w:tblStyle w:val="TableGrid"/>
        <w:tblW w:w="0" w:type="auto"/>
        <w:tblInd w:w="0" w:type="dxa"/>
        <w:tblLook w:val="04A0" w:firstRow="1" w:lastRow="0" w:firstColumn="1" w:lastColumn="0" w:noHBand="0" w:noVBand="1"/>
      </w:tblPr>
      <w:tblGrid>
        <w:gridCol w:w="3060"/>
        <w:gridCol w:w="5700"/>
      </w:tblGrid>
      <w:tr w:rsidR="001D6AE1" w:rsidRPr="001D6AE1" w14:paraId="2D343F8D" w14:textId="77777777" w:rsidTr="001D6AE1">
        <w:trPr>
          <w:trHeight w:val="462"/>
        </w:trPr>
        <w:tc>
          <w:tcPr>
            <w:tcW w:w="3060" w:type="dxa"/>
            <w:tcBorders>
              <w:top w:val="single" w:sz="4" w:space="0" w:color="auto"/>
              <w:left w:val="single" w:sz="4" w:space="0" w:color="auto"/>
              <w:bottom w:val="single" w:sz="4" w:space="0" w:color="auto"/>
              <w:right w:val="single" w:sz="4" w:space="0" w:color="auto"/>
            </w:tcBorders>
            <w:hideMark/>
          </w:tcPr>
          <w:p w14:paraId="0294D4BF" w14:textId="77777777" w:rsidR="001D6AE1" w:rsidRPr="001D6AE1" w:rsidRDefault="001D6AE1" w:rsidP="001D6AE1">
            <w:pPr>
              <w:pStyle w:val="0Normal"/>
              <w:ind w:left="0"/>
              <w:rPr>
                <w:rFonts w:asciiTheme="minorHAnsi" w:hAnsiTheme="minorHAnsi" w:cstheme="minorHAnsi"/>
                <w:szCs w:val="20"/>
              </w:rPr>
            </w:pPr>
            <w:r w:rsidRPr="001D6AE1">
              <w:rPr>
                <w:rFonts w:asciiTheme="minorHAnsi" w:hAnsiTheme="minorHAnsi" w:cstheme="minorHAnsi"/>
                <w:szCs w:val="20"/>
              </w:rPr>
              <w:t>Company Name:</w:t>
            </w:r>
          </w:p>
        </w:tc>
        <w:tc>
          <w:tcPr>
            <w:tcW w:w="5700" w:type="dxa"/>
            <w:tcBorders>
              <w:top w:val="single" w:sz="4" w:space="0" w:color="auto"/>
              <w:left w:val="single" w:sz="4" w:space="0" w:color="auto"/>
              <w:bottom w:val="single" w:sz="4" w:space="0" w:color="auto"/>
              <w:right w:val="single" w:sz="4" w:space="0" w:color="auto"/>
            </w:tcBorders>
          </w:tcPr>
          <w:p w14:paraId="22B24CAD" w14:textId="77777777" w:rsidR="001D6AE1" w:rsidRPr="001D6AE1" w:rsidRDefault="001D6AE1" w:rsidP="001D6AE1">
            <w:pPr>
              <w:pStyle w:val="0Normal"/>
              <w:ind w:left="0"/>
              <w:rPr>
                <w:rFonts w:asciiTheme="minorHAnsi" w:hAnsiTheme="minorHAnsi" w:cstheme="minorHAnsi"/>
                <w:sz w:val="18"/>
                <w:szCs w:val="18"/>
              </w:rPr>
            </w:pPr>
          </w:p>
        </w:tc>
      </w:tr>
      <w:tr w:rsidR="001D6AE1" w:rsidRPr="001D6AE1" w14:paraId="6FFEB65F" w14:textId="77777777" w:rsidTr="001D6AE1">
        <w:trPr>
          <w:trHeight w:val="462"/>
        </w:trPr>
        <w:tc>
          <w:tcPr>
            <w:tcW w:w="3060" w:type="dxa"/>
            <w:tcBorders>
              <w:top w:val="single" w:sz="4" w:space="0" w:color="auto"/>
              <w:left w:val="single" w:sz="4" w:space="0" w:color="auto"/>
              <w:bottom w:val="single" w:sz="4" w:space="0" w:color="auto"/>
              <w:right w:val="single" w:sz="4" w:space="0" w:color="auto"/>
            </w:tcBorders>
            <w:hideMark/>
          </w:tcPr>
          <w:p w14:paraId="4876BF44" w14:textId="77777777" w:rsidR="001D6AE1" w:rsidRPr="001D6AE1" w:rsidRDefault="001D6AE1" w:rsidP="001D6AE1">
            <w:pPr>
              <w:pStyle w:val="0Normal"/>
              <w:ind w:left="0"/>
              <w:rPr>
                <w:rFonts w:asciiTheme="minorHAnsi" w:hAnsiTheme="minorHAnsi" w:cstheme="minorHAnsi"/>
                <w:sz w:val="18"/>
                <w:szCs w:val="18"/>
              </w:rPr>
            </w:pPr>
            <w:r w:rsidRPr="001D6AE1">
              <w:rPr>
                <w:rFonts w:asciiTheme="minorHAnsi" w:hAnsiTheme="minorHAnsi" w:cstheme="minorHAnsi"/>
                <w:szCs w:val="20"/>
              </w:rPr>
              <w:t>Name of Authorised Signatory:</w:t>
            </w:r>
          </w:p>
        </w:tc>
        <w:tc>
          <w:tcPr>
            <w:tcW w:w="5700" w:type="dxa"/>
            <w:tcBorders>
              <w:top w:val="single" w:sz="4" w:space="0" w:color="auto"/>
              <w:left w:val="single" w:sz="4" w:space="0" w:color="auto"/>
              <w:bottom w:val="single" w:sz="4" w:space="0" w:color="auto"/>
              <w:right w:val="single" w:sz="4" w:space="0" w:color="auto"/>
            </w:tcBorders>
          </w:tcPr>
          <w:p w14:paraId="0E9472A4" w14:textId="77777777" w:rsidR="001D6AE1" w:rsidRPr="001D6AE1" w:rsidRDefault="001D6AE1" w:rsidP="001D6AE1">
            <w:pPr>
              <w:pStyle w:val="0Normal"/>
              <w:ind w:left="0"/>
              <w:rPr>
                <w:rFonts w:asciiTheme="minorHAnsi" w:hAnsiTheme="minorHAnsi" w:cstheme="minorHAnsi"/>
                <w:sz w:val="18"/>
                <w:szCs w:val="18"/>
              </w:rPr>
            </w:pPr>
          </w:p>
        </w:tc>
      </w:tr>
      <w:tr w:rsidR="001D6AE1" w:rsidRPr="001D6AE1" w14:paraId="0130BF25" w14:textId="77777777" w:rsidTr="001D6AE1">
        <w:trPr>
          <w:trHeight w:val="584"/>
        </w:trPr>
        <w:tc>
          <w:tcPr>
            <w:tcW w:w="3060" w:type="dxa"/>
            <w:tcBorders>
              <w:top w:val="single" w:sz="4" w:space="0" w:color="auto"/>
              <w:left w:val="single" w:sz="4" w:space="0" w:color="auto"/>
              <w:bottom w:val="single" w:sz="4" w:space="0" w:color="auto"/>
              <w:right w:val="single" w:sz="4" w:space="0" w:color="auto"/>
            </w:tcBorders>
            <w:hideMark/>
          </w:tcPr>
          <w:p w14:paraId="19A74E94" w14:textId="77777777" w:rsidR="001D6AE1" w:rsidRPr="001D6AE1" w:rsidRDefault="001D6AE1" w:rsidP="001D6AE1">
            <w:pPr>
              <w:pStyle w:val="0Normal"/>
              <w:ind w:left="0"/>
              <w:rPr>
                <w:rFonts w:asciiTheme="minorHAnsi" w:hAnsiTheme="minorHAnsi" w:cstheme="minorHAnsi"/>
                <w:szCs w:val="20"/>
              </w:rPr>
            </w:pPr>
            <w:r w:rsidRPr="001D6AE1">
              <w:rPr>
                <w:rFonts w:asciiTheme="minorHAnsi" w:hAnsiTheme="minorHAnsi" w:cstheme="minorHAnsi"/>
                <w:szCs w:val="20"/>
              </w:rPr>
              <w:t>Signature:</w:t>
            </w:r>
          </w:p>
        </w:tc>
        <w:tc>
          <w:tcPr>
            <w:tcW w:w="5700" w:type="dxa"/>
            <w:tcBorders>
              <w:top w:val="single" w:sz="4" w:space="0" w:color="auto"/>
              <w:left w:val="single" w:sz="4" w:space="0" w:color="auto"/>
              <w:bottom w:val="single" w:sz="4" w:space="0" w:color="auto"/>
              <w:right w:val="single" w:sz="4" w:space="0" w:color="auto"/>
            </w:tcBorders>
          </w:tcPr>
          <w:p w14:paraId="427E452E" w14:textId="77777777" w:rsidR="001D6AE1" w:rsidRPr="001D6AE1" w:rsidRDefault="001D6AE1" w:rsidP="001D6AE1">
            <w:pPr>
              <w:pStyle w:val="0Normal"/>
              <w:ind w:left="0"/>
              <w:rPr>
                <w:rFonts w:asciiTheme="minorHAnsi" w:hAnsiTheme="minorHAnsi" w:cstheme="minorHAnsi"/>
                <w:sz w:val="18"/>
                <w:szCs w:val="18"/>
              </w:rPr>
            </w:pPr>
          </w:p>
        </w:tc>
      </w:tr>
      <w:tr w:rsidR="001D6AE1" w:rsidRPr="001D6AE1" w14:paraId="5935E069" w14:textId="77777777" w:rsidTr="001D6AE1">
        <w:trPr>
          <w:trHeight w:val="505"/>
        </w:trPr>
        <w:tc>
          <w:tcPr>
            <w:tcW w:w="3060" w:type="dxa"/>
            <w:tcBorders>
              <w:top w:val="single" w:sz="4" w:space="0" w:color="auto"/>
              <w:left w:val="single" w:sz="4" w:space="0" w:color="auto"/>
              <w:bottom w:val="single" w:sz="4" w:space="0" w:color="auto"/>
              <w:right w:val="single" w:sz="4" w:space="0" w:color="auto"/>
            </w:tcBorders>
            <w:hideMark/>
          </w:tcPr>
          <w:p w14:paraId="4621A238" w14:textId="77777777" w:rsidR="001D6AE1" w:rsidRPr="001D6AE1" w:rsidRDefault="001D6AE1" w:rsidP="001D6AE1">
            <w:pPr>
              <w:pStyle w:val="0Normal"/>
              <w:ind w:left="0"/>
              <w:rPr>
                <w:rFonts w:asciiTheme="minorHAnsi" w:hAnsiTheme="minorHAnsi" w:cstheme="minorHAnsi"/>
                <w:szCs w:val="20"/>
              </w:rPr>
            </w:pPr>
            <w:r w:rsidRPr="001D6AE1">
              <w:rPr>
                <w:rFonts w:asciiTheme="minorHAnsi" w:hAnsiTheme="minorHAnsi" w:cstheme="minorHAnsi"/>
                <w:szCs w:val="20"/>
              </w:rPr>
              <w:t>Date:</w:t>
            </w:r>
          </w:p>
        </w:tc>
        <w:tc>
          <w:tcPr>
            <w:tcW w:w="5700" w:type="dxa"/>
            <w:tcBorders>
              <w:top w:val="single" w:sz="4" w:space="0" w:color="auto"/>
              <w:left w:val="single" w:sz="4" w:space="0" w:color="auto"/>
              <w:bottom w:val="single" w:sz="4" w:space="0" w:color="auto"/>
              <w:right w:val="single" w:sz="4" w:space="0" w:color="auto"/>
            </w:tcBorders>
          </w:tcPr>
          <w:p w14:paraId="13590588" w14:textId="77777777" w:rsidR="001D6AE1" w:rsidRPr="001D6AE1" w:rsidRDefault="001D6AE1" w:rsidP="001D6AE1">
            <w:pPr>
              <w:pStyle w:val="0Normal"/>
              <w:ind w:left="0"/>
              <w:rPr>
                <w:rFonts w:asciiTheme="minorHAnsi" w:hAnsiTheme="minorHAnsi" w:cstheme="minorHAnsi"/>
                <w:sz w:val="18"/>
                <w:szCs w:val="18"/>
              </w:rPr>
            </w:pPr>
          </w:p>
        </w:tc>
      </w:tr>
      <w:tr w:rsidR="001D6AE1" w:rsidRPr="001D6AE1" w14:paraId="7D58A5CE" w14:textId="77777777" w:rsidTr="001D6AE1">
        <w:trPr>
          <w:trHeight w:val="2798"/>
        </w:trPr>
        <w:tc>
          <w:tcPr>
            <w:tcW w:w="3060" w:type="dxa"/>
            <w:tcBorders>
              <w:top w:val="single" w:sz="4" w:space="0" w:color="auto"/>
              <w:left w:val="single" w:sz="4" w:space="0" w:color="auto"/>
              <w:bottom w:val="single" w:sz="4" w:space="0" w:color="auto"/>
              <w:right w:val="single" w:sz="4" w:space="0" w:color="auto"/>
            </w:tcBorders>
            <w:hideMark/>
          </w:tcPr>
          <w:p w14:paraId="02EF0A38" w14:textId="77777777" w:rsidR="001D6AE1" w:rsidRPr="001D6AE1" w:rsidRDefault="001D6AE1" w:rsidP="001D6AE1">
            <w:pPr>
              <w:pStyle w:val="0Normal"/>
              <w:ind w:left="0"/>
              <w:rPr>
                <w:rFonts w:asciiTheme="minorHAnsi" w:hAnsiTheme="minorHAnsi" w:cstheme="minorHAnsi"/>
                <w:szCs w:val="20"/>
              </w:rPr>
            </w:pPr>
            <w:r w:rsidRPr="001D6AE1">
              <w:rPr>
                <w:rFonts w:asciiTheme="minorHAnsi" w:hAnsiTheme="minorHAnsi" w:cstheme="minorHAnsi"/>
                <w:szCs w:val="20"/>
              </w:rPr>
              <w:t>Company Stamp:</w:t>
            </w:r>
          </w:p>
        </w:tc>
        <w:tc>
          <w:tcPr>
            <w:tcW w:w="5700" w:type="dxa"/>
            <w:tcBorders>
              <w:top w:val="single" w:sz="4" w:space="0" w:color="auto"/>
              <w:left w:val="single" w:sz="4" w:space="0" w:color="auto"/>
              <w:bottom w:val="single" w:sz="4" w:space="0" w:color="auto"/>
              <w:right w:val="single" w:sz="4" w:space="0" w:color="auto"/>
            </w:tcBorders>
          </w:tcPr>
          <w:p w14:paraId="58CE4C79" w14:textId="77777777" w:rsidR="001D6AE1" w:rsidRPr="001D6AE1" w:rsidRDefault="001D6AE1" w:rsidP="001D6AE1">
            <w:pPr>
              <w:pStyle w:val="0Normal"/>
              <w:ind w:left="0"/>
              <w:rPr>
                <w:rFonts w:asciiTheme="minorHAnsi" w:hAnsiTheme="minorHAnsi" w:cstheme="minorHAnsi"/>
                <w:sz w:val="18"/>
                <w:szCs w:val="18"/>
              </w:rPr>
            </w:pPr>
          </w:p>
        </w:tc>
      </w:tr>
    </w:tbl>
    <w:p w14:paraId="4CDDC699" w14:textId="77777777" w:rsidR="001D6AE1" w:rsidRPr="001D6AE1" w:rsidRDefault="001D6AE1" w:rsidP="001D6AE1">
      <w:pPr>
        <w:pStyle w:val="0Normal"/>
        <w:ind w:left="0"/>
        <w:rPr>
          <w:rFonts w:asciiTheme="minorHAnsi" w:hAnsiTheme="minorHAnsi" w:cstheme="minorHAnsi"/>
          <w:sz w:val="18"/>
          <w:szCs w:val="18"/>
        </w:rPr>
      </w:pPr>
    </w:p>
    <w:p w14:paraId="228C361C" w14:textId="31E07761" w:rsidR="00D154D3" w:rsidRPr="006757E8" w:rsidRDefault="00D154D3" w:rsidP="001D6AE1">
      <w:pPr>
        <w:ind w:left="0"/>
        <w:rPr>
          <w:rFonts w:asciiTheme="minorHAnsi" w:hAnsiTheme="minorHAnsi" w:cstheme="minorHAnsi"/>
        </w:rPr>
      </w:pPr>
    </w:p>
    <w:sectPr w:rsidR="00D154D3" w:rsidRPr="006757E8">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4A5B62" w14:textId="77777777" w:rsidR="00A75647" w:rsidRDefault="00A75647" w:rsidP="00AC193B">
      <w:pPr>
        <w:spacing w:before="0" w:after="0"/>
      </w:pPr>
      <w:r>
        <w:separator/>
      </w:r>
    </w:p>
  </w:endnote>
  <w:endnote w:type="continuationSeparator" w:id="0">
    <w:p w14:paraId="40D7264D" w14:textId="77777777" w:rsidR="00A75647" w:rsidRDefault="00A75647" w:rsidP="00AC193B">
      <w:pPr>
        <w:spacing w:before="0" w:after="0"/>
      </w:pPr>
      <w:r>
        <w:continuationSeparator/>
      </w:r>
    </w:p>
  </w:endnote>
  <w:endnote w:type="continuationNotice" w:id="1">
    <w:p w14:paraId="45453511" w14:textId="77777777" w:rsidR="008E0258" w:rsidRDefault="008E0258">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ubai">
    <w:panose1 w:val="020B0503030403030204"/>
    <w:charset w:val="00"/>
    <w:family w:val="swiss"/>
    <w:pitch w:val="variable"/>
    <w:sig w:usb0="80002067" w:usb1="80000000" w:usb2="00000008" w:usb3="00000000" w:csb0="00000041" w:csb1="00000000"/>
  </w:font>
  <w:font w:name="Arial Bold">
    <w:altName w:val="Arial"/>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0864F" w14:textId="4755098A" w:rsidR="003B2841" w:rsidRPr="003B2841" w:rsidRDefault="003B2841">
    <w:pPr>
      <w:pStyle w:val="Footer"/>
      <w:jc w:val="center"/>
      <w:rPr>
        <w:color w:val="000000" w:themeColor="text1"/>
      </w:rPr>
    </w:pPr>
    <w:r>
      <w:rPr>
        <w:color w:val="4472C4" w:themeColor="accent1"/>
      </w:rPr>
      <w:tab/>
    </w:r>
    <w:r>
      <w:rPr>
        <w:color w:val="4472C4" w:themeColor="accent1"/>
      </w:rPr>
      <w:tab/>
    </w:r>
    <w:r w:rsidRPr="003B2841">
      <w:rPr>
        <w:color w:val="000000" w:themeColor="text1"/>
      </w:rPr>
      <w:t xml:space="preserve">Page </w:t>
    </w:r>
    <w:r w:rsidRPr="003B2841">
      <w:rPr>
        <w:color w:val="000000" w:themeColor="text1"/>
      </w:rPr>
      <w:fldChar w:fldCharType="begin"/>
    </w:r>
    <w:r w:rsidRPr="003B2841">
      <w:rPr>
        <w:color w:val="000000" w:themeColor="text1"/>
      </w:rPr>
      <w:instrText xml:space="preserve"> PAGE  \* Arabic  \* MERGEFORMAT </w:instrText>
    </w:r>
    <w:r w:rsidRPr="003B2841">
      <w:rPr>
        <w:color w:val="000000" w:themeColor="text1"/>
      </w:rPr>
      <w:fldChar w:fldCharType="separate"/>
    </w:r>
    <w:r w:rsidRPr="003B2841">
      <w:rPr>
        <w:noProof/>
        <w:color w:val="000000" w:themeColor="text1"/>
      </w:rPr>
      <w:t>2</w:t>
    </w:r>
    <w:r w:rsidRPr="003B2841">
      <w:rPr>
        <w:color w:val="000000" w:themeColor="text1"/>
      </w:rPr>
      <w:fldChar w:fldCharType="end"/>
    </w:r>
    <w:r w:rsidRPr="003B2841">
      <w:rPr>
        <w:color w:val="000000" w:themeColor="text1"/>
      </w:rPr>
      <w:t xml:space="preserve"> of </w:t>
    </w:r>
    <w:r w:rsidRPr="003B2841">
      <w:rPr>
        <w:color w:val="000000" w:themeColor="text1"/>
      </w:rPr>
      <w:fldChar w:fldCharType="begin"/>
    </w:r>
    <w:r w:rsidRPr="003B2841">
      <w:rPr>
        <w:color w:val="000000" w:themeColor="text1"/>
      </w:rPr>
      <w:instrText xml:space="preserve"> NUMPAGES  \* Arabic  \* MERGEFORMAT </w:instrText>
    </w:r>
    <w:r w:rsidRPr="003B2841">
      <w:rPr>
        <w:color w:val="000000" w:themeColor="text1"/>
      </w:rPr>
      <w:fldChar w:fldCharType="separate"/>
    </w:r>
    <w:r w:rsidRPr="003B2841">
      <w:rPr>
        <w:noProof/>
        <w:color w:val="000000" w:themeColor="text1"/>
      </w:rPr>
      <w:t>2</w:t>
    </w:r>
    <w:r w:rsidRPr="003B2841">
      <w:rPr>
        <w:color w:val="000000" w:themeColor="text1"/>
      </w:rPr>
      <w:fldChar w:fldCharType="end"/>
    </w:r>
  </w:p>
  <w:p w14:paraId="247AE9DC" w14:textId="77777777" w:rsidR="003B2841" w:rsidRDefault="003B28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51512F" w14:textId="77777777" w:rsidR="00A75647" w:rsidRDefault="00A75647" w:rsidP="00AC193B">
      <w:pPr>
        <w:spacing w:before="0" w:after="0"/>
      </w:pPr>
      <w:r>
        <w:separator/>
      </w:r>
    </w:p>
  </w:footnote>
  <w:footnote w:type="continuationSeparator" w:id="0">
    <w:p w14:paraId="39B4148A" w14:textId="77777777" w:rsidR="00A75647" w:rsidRDefault="00A75647" w:rsidP="00AC193B">
      <w:pPr>
        <w:spacing w:before="0" w:after="0"/>
      </w:pPr>
      <w:r>
        <w:continuationSeparator/>
      </w:r>
    </w:p>
  </w:footnote>
  <w:footnote w:type="continuationNotice" w:id="1">
    <w:p w14:paraId="00D58540" w14:textId="77777777" w:rsidR="008E0258" w:rsidRDefault="008E0258">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5953"/>
    </w:tblGrid>
    <w:tr w:rsidR="00AC193B" w:rsidRPr="0027543C" w14:paraId="005E04A5" w14:textId="77777777" w:rsidTr="00793B3C">
      <w:tc>
        <w:tcPr>
          <w:tcW w:w="3402" w:type="dxa"/>
          <w:vAlign w:val="center"/>
        </w:tcPr>
        <w:p w14:paraId="2C57D668" w14:textId="77777777" w:rsidR="00AC193B" w:rsidRPr="0027543C" w:rsidRDefault="00AC193B" w:rsidP="00AC193B">
          <w:pPr>
            <w:pStyle w:val="0TableHeaderTitle"/>
            <w:jc w:val="center"/>
            <w:rPr>
              <w:color w:val="FF0000"/>
              <w:sz w:val="24"/>
              <w:szCs w:val="24"/>
            </w:rPr>
          </w:pPr>
          <w:r w:rsidRPr="0027543C">
            <w:rPr>
              <w:noProof/>
              <w:color w:val="FF0000"/>
            </w:rPr>
            <w:drawing>
              <wp:inline distT="0" distB="0" distL="0" distR="0" wp14:anchorId="652950DD" wp14:editId="7D10105D">
                <wp:extent cx="1341215" cy="992038"/>
                <wp:effectExtent l="0" t="0" r="0" b="0"/>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rotWithShape="1">
                        <a:blip r:embed="rId1">
                          <a:extLst>
                            <a:ext uri="{28A0092B-C50C-407E-A947-70E740481C1C}">
                              <a14:useLocalDpi xmlns:a14="http://schemas.microsoft.com/office/drawing/2010/main" val="0"/>
                            </a:ext>
                          </a:extLst>
                        </a:blip>
                        <a:srcRect l="4170" t="13062" r="5662" b="15074"/>
                        <a:stretch/>
                      </pic:blipFill>
                      <pic:spPr bwMode="auto">
                        <a:xfrm>
                          <a:off x="0" y="0"/>
                          <a:ext cx="1354542" cy="100189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953" w:type="dxa"/>
          <w:vMerge w:val="restart"/>
          <w:vAlign w:val="center"/>
        </w:tcPr>
        <w:p w14:paraId="40C92A06" w14:textId="7BA8CC16" w:rsidR="00AC193B" w:rsidRPr="00D154D3" w:rsidRDefault="00D154D3" w:rsidP="00AC193B">
          <w:pPr>
            <w:pStyle w:val="0TableHeaderTitle"/>
            <w:jc w:val="center"/>
            <w:rPr>
              <w:color w:val="009999"/>
              <w:sz w:val="32"/>
              <w:szCs w:val="32"/>
            </w:rPr>
          </w:pPr>
          <w:r w:rsidRPr="00D154D3">
            <w:rPr>
              <w:color w:val="009999"/>
              <w:sz w:val="32"/>
              <w:szCs w:val="32"/>
            </w:rPr>
            <w:t>SUPPLIER’S CODE OF CONDUCT</w:t>
          </w:r>
        </w:p>
      </w:tc>
    </w:tr>
    <w:tr w:rsidR="00AC193B" w:rsidRPr="0027543C" w14:paraId="2325332F" w14:textId="77777777" w:rsidTr="00793B3C">
      <w:tc>
        <w:tcPr>
          <w:tcW w:w="3402" w:type="dxa"/>
          <w:vAlign w:val="center"/>
        </w:tcPr>
        <w:p w14:paraId="31E4E6F7" w14:textId="77777777" w:rsidR="00AC193B" w:rsidRPr="00ED492B" w:rsidRDefault="00AC193B" w:rsidP="00AC193B">
          <w:pPr>
            <w:pStyle w:val="0TableHeaderTitle"/>
            <w:jc w:val="center"/>
            <w:rPr>
              <w:noProof/>
              <w:color w:val="7F7F7F" w:themeColor="text1" w:themeTint="80"/>
              <w:sz w:val="16"/>
              <w:szCs w:val="16"/>
            </w:rPr>
          </w:pPr>
          <w:r w:rsidRPr="00ED492B">
            <w:rPr>
              <w:noProof/>
              <w:color w:val="7F7F7F" w:themeColor="text1" w:themeTint="80"/>
              <w:sz w:val="16"/>
              <w:szCs w:val="16"/>
            </w:rPr>
            <w:t>Procurement &amp; Supply Chain Department</w:t>
          </w:r>
        </w:p>
      </w:tc>
      <w:tc>
        <w:tcPr>
          <w:tcW w:w="5953" w:type="dxa"/>
          <w:vMerge/>
          <w:vAlign w:val="center"/>
        </w:tcPr>
        <w:p w14:paraId="357D4DFA" w14:textId="77777777" w:rsidR="00AC193B" w:rsidRPr="0027543C" w:rsidRDefault="00AC193B" w:rsidP="00AC193B">
          <w:pPr>
            <w:pStyle w:val="0TableHeaderTitle"/>
            <w:jc w:val="center"/>
            <w:rPr>
              <w:color w:val="FF0000"/>
              <w:sz w:val="24"/>
              <w:szCs w:val="24"/>
            </w:rPr>
          </w:pPr>
        </w:p>
      </w:tc>
    </w:tr>
  </w:tbl>
  <w:p w14:paraId="2A84C400" w14:textId="77777777" w:rsidR="00AC193B" w:rsidRDefault="00AC19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0C7FBE"/>
    <w:multiLevelType w:val="multilevel"/>
    <w:tmpl w:val="4510F34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1A4F6C31"/>
    <w:multiLevelType w:val="hybridMultilevel"/>
    <w:tmpl w:val="CF9AE0C0"/>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09C2CD2"/>
    <w:multiLevelType w:val="hybridMultilevel"/>
    <w:tmpl w:val="F12A8D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9F3C85"/>
    <w:multiLevelType w:val="hybridMultilevel"/>
    <w:tmpl w:val="9CA2A26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0E47973"/>
    <w:multiLevelType w:val="hybridMultilevel"/>
    <w:tmpl w:val="EC0AC6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6671BF"/>
    <w:multiLevelType w:val="hybridMultilevel"/>
    <w:tmpl w:val="F5A2D8F2"/>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66E0D8B"/>
    <w:multiLevelType w:val="hybridMultilevel"/>
    <w:tmpl w:val="5D96A2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E059AD"/>
    <w:multiLevelType w:val="hybridMultilevel"/>
    <w:tmpl w:val="F8A46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953BFF"/>
    <w:multiLevelType w:val="hybridMultilevel"/>
    <w:tmpl w:val="B02871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CF94CCA"/>
    <w:multiLevelType w:val="hybridMultilevel"/>
    <w:tmpl w:val="2AF699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2E01FEF"/>
    <w:multiLevelType w:val="hybridMultilevel"/>
    <w:tmpl w:val="B630C4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287C27"/>
    <w:multiLevelType w:val="hybridMultilevel"/>
    <w:tmpl w:val="83968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ED5939"/>
    <w:multiLevelType w:val="hybridMultilevel"/>
    <w:tmpl w:val="B3D22256"/>
    <w:lvl w:ilvl="0" w:tplc="0409000F">
      <w:start w:val="1"/>
      <w:numFmt w:val="decimal"/>
      <w:lvlText w:val="%1."/>
      <w:lvlJc w:val="left"/>
      <w:pPr>
        <w:ind w:left="720" w:hanging="360"/>
      </w:pPr>
    </w:lvl>
    <w:lvl w:ilvl="1" w:tplc="04090011">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62E11943"/>
    <w:multiLevelType w:val="multilevel"/>
    <w:tmpl w:val="4DA63538"/>
    <w:lvl w:ilvl="0">
      <w:start w:val="1"/>
      <w:numFmt w:val="decimal"/>
      <w:pStyle w:val="Heading1"/>
      <w:lvlText w:val="%1"/>
      <w:lvlJc w:val="left"/>
      <w:pPr>
        <w:ind w:left="432" w:hanging="432"/>
      </w:pPr>
      <w:rPr>
        <w:b/>
      </w:rPr>
    </w:lvl>
    <w:lvl w:ilvl="1">
      <w:start w:val="1"/>
      <w:numFmt w:val="decimal"/>
      <w:lvlText w:val="%1.%2"/>
      <w:lvlJc w:val="left"/>
      <w:pPr>
        <w:ind w:left="576" w:hanging="576"/>
      </w:pPr>
      <w:rPr>
        <w:b w: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6635569C"/>
    <w:multiLevelType w:val="multilevel"/>
    <w:tmpl w:val="215AD238"/>
    <w:lvl w:ilvl="0">
      <w:start w:val="1"/>
      <w:numFmt w:val="decimal"/>
      <w:pStyle w:val="0Heading1"/>
      <w:lvlText w:val="%1."/>
      <w:lvlJc w:val="left"/>
      <w:pPr>
        <w:tabs>
          <w:tab w:val="num" w:pos="900"/>
        </w:tabs>
        <w:ind w:left="900" w:hanging="720"/>
      </w:pPr>
      <w:rPr>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rPr>
    </w:lvl>
    <w:lvl w:ilvl="1">
      <w:start w:val="1"/>
      <w:numFmt w:val="decimal"/>
      <w:pStyle w:val="0Heading2"/>
      <w:lvlText w:val="%1.%2"/>
      <w:lvlJc w:val="left"/>
      <w:pPr>
        <w:tabs>
          <w:tab w:val="num" w:pos="0"/>
        </w:tabs>
        <w:ind w:left="1080" w:hanging="1080"/>
      </w:pPr>
      <w:rPr>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rPr>
    </w:lvl>
    <w:lvl w:ilvl="2">
      <w:start w:val="1"/>
      <w:numFmt w:val="decimal"/>
      <w:pStyle w:val="0Heading3"/>
      <w:lvlText w:val="%1.%2.%3"/>
      <w:lvlJc w:val="left"/>
      <w:pPr>
        <w:tabs>
          <w:tab w:val="num" w:pos="270"/>
        </w:tabs>
        <w:ind w:left="594" w:hanging="504"/>
      </w:pPr>
      <w:rPr>
        <w:bCs w:val="0"/>
        <w:i w:val="0"/>
        <w:iCs w:val="0"/>
        <w:caps w:val="0"/>
        <w:smallCaps w:val="0"/>
        <w:strike w:val="0"/>
        <w:dstrike w:val="0"/>
        <w:noProof w:val="0"/>
        <w:vanish w:val="0"/>
        <w:webHidden w:val="0"/>
        <w:color w:val="8A2412"/>
        <w:spacing w:val="0"/>
        <w:kern w:val="0"/>
        <w:position w:val="0"/>
        <w:u w:val="none"/>
        <w:effect w:val="none"/>
        <w:vertAlign w:val="baseline"/>
        <w:em w:val="none"/>
        <w:specVanish w:val="0"/>
      </w:rPr>
    </w:lvl>
    <w:lvl w:ilvl="3">
      <w:start w:val="1"/>
      <w:numFmt w:val="decimal"/>
      <w:pStyle w:val="0Heading4"/>
      <w:lvlText w:val="%1.%2.%3.%4"/>
      <w:lvlJc w:val="left"/>
      <w:pPr>
        <w:tabs>
          <w:tab w:val="num" w:pos="990"/>
        </w:tabs>
        <w:ind w:left="918" w:hanging="648"/>
      </w:pPr>
      <w:rPr>
        <w:b/>
        <w:bCs/>
        <w:i w:val="0"/>
        <w:iCs w:val="0"/>
        <w:caps w:val="0"/>
        <w:smallCaps w:val="0"/>
        <w:strike w:val="0"/>
        <w:dstrike w:val="0"/>
        <w:noProof w:val="0"/>
        <w:vanish w:val="0"/>
        <w:webHidden w:val="0"/>
        <w:color w:val="53524C"/>
        <w:spacing w:val="0"/>
        <w:kern w:val="0"/>
        <w:position w:val="0"/>
        <w:u w:val="none"/>
        <w:effect w:val="none"/>
        <w:vertAlign w:val="baseline"/>
        <w:em w:val="none"/>
        <w:specVanish w:val="0"/>
      </w:rPr>
    </w:lvl>
    <w:lvl w:ilvl="4">
      <w:start w:val="1"/>
      <w:numFmt w:val="decimal"/>
      <w:lvlText w:val="%1.%2.%3.%4.%5."/>
      <w:lvlJc w:val="left"/>
      <w:pPr>
        <w:tabs>
          <w:tab w:val="num" w:pos="2160"/>
        </w:tabs>
        <w:ind w:left="1872" w:hanging="792"/>
      </w:pPr>
    </w:lvl>
    <w:lvl w:ilvl="5">
      <w:start w:val="1"/>
      <w:numFmt w:val="decimal"/>
      <w:lvlText w:val="%1.%2.%3.%4.%5.%6."/>
      <w:lvlJc w:val="left"/>
      <w:pPr>
        <w:tabs>
          <w:tab w:val="num" w:pos="2520"/>
        </w:tabs>
        <w:ind w:left="2376" w:hanging="936"/>
      </w:pPr>
    </w:lvl>
    <w:lvl w:ilvl="6">
      <w:start w:val="1"/>
      <w:numFmt w:val="decimal"/>
      <w:lvlText w:val="%1.%2.%3.%4.%5.%6.%7."/>
      <w:lvlJc w:val="left"/>
      <w:pPr>
        <w:tabs>
          <w:tab w:val="num" w:pos="3240"/>
        </w:tabs>
        <w:ind w:left="2880" w:hanging="1080"/>
      </w:pPr>
    </w:lvl>
    <w:lvl w:ilvl="7">
      <w:start w:val="1"/>
      <w:numFmt w:val="decimal"/>
      <w:lvlText w:val="%1.%2.%3.%4.%5.%6.%7.%8."/>
      <w:lvlJc w:val="left"/>
      <w:pPr>
        <w:tabs>
          <w:tab w:val="num" w:pos="3600"/>
        </w:tabs>
        <w:ind w:left="3384" w:hanging="1224"/>
      </w:pPr>
    </w:lvl>
    <w:lvl w:ilvl="8">
      <w:start w:val="1"/>
      <w:numFmt w:val="decimal"/>
      <w:lvlText w:val="%1.%2.%3.%4.%5.%6.%7.%8.%9."/>
      <w:lvlJc w:val="left"/>
      <w:pPr>
        <w:tabs>
          <w:tab w:val="num" w:pos="4320"/>
        </w:tabs>
        <w:ind w:left="3960" w:hanging="1440"/>
      </w:pPr>
    </w:lvl>
  </w:abstractNum>
  <w:abstractNum w:abstractNumId="15" w15:restartNumberingAfterBreak="0">
    <w:nsid w:val="6C925DD8"/>
    <w:multiLevelType w:val="hybridMultilevel"/>
    <w:tmpl w:val="E0B406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22F48A0"/>
    <w:multiLevelType w:val="hybridMultilevel"/>
    <w:tmpl w:val="E19A8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81B0565"/>
    <w:multiLevelType w:val="hybridMultilevel"/>
    <w:tmpl w:val="366EA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E461B2E"/>
    <w:multiLevelType w:val="hybridMultilevel"/>
    <w:tmpl w:val="B3CAEE38"/>
    <w:lvl w:ilvl="0" w:tplc="7998568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7F2E51C1"/>
    <w:multiLevelType w:val="hybridMultilevel"/>
    <w:tmpl w:val="C34CB9EC"/>
    <w:lvl w:ilvl="0" w:tplc="0409000F">
      <w:start w:val="1"/>
      <w:numFmt w:val="decimal"/>
      <w:lvlText w:val="%1."/>
      <w:lvlJc w:val="left"/>
      <w:pPr>
        <w:ind w:left="720" w:hanging="360"/>
      </w:pPr>
    </w:lvl>
    <w:lvl w:ilvl="1" w:tplc="04090011">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890582018">
    <w:abstractNumId w:val="13"/>
  </w:num>
  <w:num w:numId="2" w16cid:durableId="1254633641">
    <w:abstractNumId w:val="0"/>
  </w:num>
  <w:num w:numId="3" w16cid:durableId="1722555943">
    <w:abstractNumId w:val="10"/>
  </w:num>
  <w:num w:numId="4" w16cid:durableId="1135876006">
    <w:abstractNumId w:val="16"/>
  </w:num>
  <w:num w:numId="5" w16cid:durableId="53703167">
    <w:abstractNumId w:val="1"/>
  </w:num>
  <w:num w:numId="6" w16cid:durableId="50932464">
    <w:abstractNumId w:val="5"/>
  </w:num>
  <w:num w:numId="7" w16cid:durableId="1316647463">
    <w:abstractNumId w:val="6"/>
  </w:num>
  <w:num w:numId="8" w16cid:durableId="556168565">
    <w:abstractNumId w:val="9"/>
  </w:num>
  <w:num w:numId="9" w16cid:durableId="1899897077">
    <w:abstractNumId w:val="8"/>
  </w:num>
  <w:num w:numId="10" w16cid:durableId="1356345279">
    <w:abstractNumId w:val="15"/>
  </w:num>
  <w:num w:numId="11" w16cid:durableId="1404912670">
    <w:abstractNumId w:val="4"/>
  </w:num>
  <w:num w:numId="12" w16cid:durableId="347415463">
    <w:abstractNumId w:val="11"/>
  </w:num>
  <w:num w:numId="13" w16cid:durableId="1002902494">
    <w:abstractNumId w:val="17"/>
  </w:num>
  <w:num w:numId="14" w16cid:durableId="1642736111">
    <w:abstractNumId w:val="7"/>
  </w:num>
  <w:num w:numId="15" w16cid:durableId="122429359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808886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2618305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729497868">
    <w:abstractNumId w:val="18"/>
  </w:num>
  <w:num w:numId="19" w16cid:durableId="781220495">
    <w:abstractNumId w:val="2"/>
  </w:num>
  <w:num w:numId="20" w16cid:durableId="3158420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93B"/>
    <w:rsid w:val="00012098"/>
    <w:rsid w:val="00065EA6"/>
    <w:rsid w:val="000A49DE"/>
    <w:rsid w:val="000A611B"/>
    <w:rsid w:val="000C3E7B"/>
    <w:rsid w:val="000F5B55"/>
    <w:rsid w:val="00136DCE"/>
    <w:rsid w:val="0018536F"/>
    <w:rsid w:val="001D6AE1"/>
    <w:rsid w:val="002A6844"/>
    <w:rsid w:val="002D71ED"/>
    <w:rsid w:val="002F23DB"/>
    <w:rsid w:val="003B2841"/>
    <w:rsid w:val="003C0051"/>
    <w:rsid w:val="003D2B09"/>
    <w:rsid w:val="00402D33"/>
    <w:rsid w:val="0043217A"/>
    <w:rsid w:val="00450FD5"/>
    <w:rsid w:val="00473E6A"/>
    <w:rsid w:val="004A4809"/>
    <w:rsid w:val="004B283E"/>
    <w:rsid w:val="00506BB9"/>
    <w:rsid w:val="005B2A62"/>
    <w:rsid w:val="005B78E7"/>
    <w:rsid w:val="00625498"/>
    <w:rsid w:val="00632028"/>
    <w:rsid w:val="006566F3"/>
    <w:rsid w:val="006757E8"/>
    <w:rsid w:val="00686317"/>
    <w:rsid w:val="0069650E"/>
    <w:rsid w:val="006B7F11"/>
    <w:rsid w:val="007622DE"/>
    <w:rsid w:val="007E1D95"/>
    <w:rsid w:val="007F30CC"/>
    <w:rsid w:val="00824A6C"/>
    <w:rsid w:val="00861F72"/>
    <w:rsid w:val="008E0258"/>
    <w:rsid w:val="008E7629"/>
    <w:rsid w:val="00930D2D"/>
    <w:rsid w:val="009C1EF8"/>
    <w:rsid w:val="00A21B24"/>
    <w:rsid w:val="00A5075B"/>
    <w:rsid w:val="00A75647"/>
    <w:rsid w:val="00A83056"/>
    <w:rsid w:val="00AA667D"/>
    <w:rsid w:val="00AC193B"/>
    <w:rsid w:val="00B04CD3"/>
    <w:rsid w:val="00B130A5"/>
    <w:rsid w:val="00B1556B"/>
    <w:rsid w:val="00B506B7"/>
    <w:rsid w:val="00B9098E"/>
    <w:rsid w:val="00B97482"/>
    <w:rsid w:val="00BE3106"/>
    <w:rsid w:val="00C00970"/>
    <w:rsid w:val="00C34D1F"/>
    <w:rsid w:val="00C82CAB"/>
    <w:rsid w:val="00D0002F"/>
    <w:rsid w:val="00D154D3"/>
    <w:rsid w:val="00D1787B"/>
    <w:rsid w:val="00D17C5F"/>
    <w:rsid w:val="00D448EA"/>
    <w:rsid w:val="00DB09A4"/>
    <w:rsid w:val="00DF0AF7"/>
    <w:rsid w:val="00DF1F0D"/>
    <w:rsid w:val="00E0489A"/>
    <w:rsid w:val="00E37A68"/>
    <w:rsid w:val="00E60FCD"/>
    <w:rsid w:val="00EA1D9E"/>
    <w:rsid w:val="00EF168B"/>
    <w:rsid w:val="00F02658"/>
    <w:rsid w:val="00F814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E4788"/>
  <w15:chartTrackingRefBased/>
  <w15:docId w15:val="{2A4C18CA-E8D9-446C-97DE-5F32AD418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A21B24"/>
    <w:pPr>
      <w:spacing w:before="120" w:after="120" w:line="240" w:lineRule="auto"/>
      <w:ind w:left="1080"/>
    </w:pPr>
    <w:rPr>
      <w:rFonts w:ascii="Arial" w:eastAsia="Times New Roman" w:hAnsi="Arial" w:cs="Arial"/>
      <w:szCs w:val="26"/>
      <w:lang w:val="en-US"/>
    </w:rPr>
  </w:style>
  <w:style w:type="paragraph" w:styleId="Heading1">
    <w:name w:val="heading 1"/>
    <w:basedOn w:val="Normal"/>
    <w:next w:val="Normal"/>
    <w:link w:val="Heading1Char"/>
    <w:autoRedefine/>
    <w:uiPriority w:val="9"/>
    <w:qFormat/>
    <w:rsid w:val="00AA667D"/>
    <w:pPr>
      <w:keepNext/>
      <w:keepLines/>
      <w:numPr>
        <w:numId w:val="1"/>
      </w:numPr>
      <w:spacing w:before="240" w:after="0"/>
      <w:outlineLvl w:val="0"/>
    </w:pPr>
    <w:rPr>
      <w:rFonts w:ascii="Dubai" w:eastAsiaTheme="majorEastAsia" w:hAnsi="Dubai" w:cstheme="majorBidi"/>
      <w:b/>
      <w:color w:val="009999"/>
      <w:sz w:val="32"/>
      <w:szCs w:val="32"/>
    </w:rPr>
  </w:style>
  <w:style w:type="paragraph" w:styleId="Heading2">
    <w:name w:val="heading 2"/>
    <w:basedOn w:val="Normal"/>
    <w:next w:val="Normal"/>
    <w:link w:val="Heading2Char"/>
    <w:autoRedefine/>
    <w:unhideWhenUsed/>
    <w:qFormat/>
    <w:rsid w:val="00EF168B"/>
    <w:pPr>
      <w:spacing w:before="240" w:after="60" w:line="276" w:lineRule="auto"/>
      <w:ind w:left="576" w:hanging="576"/>
      <w:jc w:val="both"/>
      <w:outlineLvl w:val="1"/>
    </w:pPr>
    <w:rPr>
      <w:rFonts w:ascii="Dubai" w:hAnsi="Dubai"/>
      <w:b/>
      <w:color w:val="009999"/>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667D"/>
    <w:rPr>
      <w:rFonts w:ascii="Dubai" w:eastAsiaTheme="majorEastAsia" w:hAnsi="Dubai" w:cstheme="majorBidi"/>
      <w:b/>
      <w:color w:val="009999"/>
      <w:sz w:val="32"/>
      <w:szCs w:val="32"/>
    </w:rPr>
  </w:style>
  <w:style w:type="character" w:customStyle="1" w:styleId="Heading2Char">
    <w:name w:val="Heading 2 Char"/>
    <w:link w:val="Heading2"/>
    <w:rsid w:val="00EF168B"/>
    <w:rPr>
      <w:rFonts w:ascii="Dubai" w:eastAsia="Times New Roman" w:hAnsi="Dubai" w:cs="Arial"/>
      <w:b/>
      <w:color w:val="009999"/>
      <w:sz w:val="28"/>
      <w:szCs w:val="26"/>
      <w:lang w:val="en-US"/>
    </w:rPr>
  </w:style>
  <w:style w:type="table" w:styleId="TableGrid">
    <w:name w:val="Table Grid"/>
    <w:basedOn w:val="TableNormal"/>
    <w:rsid w:val="00AC193B"/>
    <w:pPr>
      <w:tabs>
        <w:tab w:val="left" w:pos="360"/>
      </w:tabs>
      <w:spacing w:before="60" w:after="60" w:line="240" w:lineRule="auto"/>
    </w:pPr>
    <w:rPr>
      <w:rFonts w:ascii="Times New Roman" w:eastAsia="Times New Roman" w:hAnsi="Times New Roman" w:cs="Times New Roman"/>
      <w:sz w:val="20"/>
      <w:szCs w:val="20"/>
      <w:lang w:val="en-US"/>
    </w:rPr>
    <w:tblPr>
      <w:tblInd w:w="83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Pr>
  </w:style>
  <w:style w:type="paragraph" w:customStyle="1" w:styleId="0TableHeaderTitle">
    <w:name w:val="0_Table_HeaderTitle"/>
    <w:qFormat/>
    <w:rsid w:val="00AC193B"/>
    <w:pPr>
      <w:spacing w:before="60" w:after="60" w:line="240" w:lineRule="auto"/>
    </w:pPr>
    <w:rPr>
      <w:rFonts w:ascii="Arial" w:eastAsia="Times New Roman" w:hAnsi="Arial" w:cs="Arial"/>
      <w:b/>
      <w:bCs/>
      <w:sz w:val="18"/>
      <w:szCs w:val="18"/>
      <w:lang w:val="en-US"/>
    </w:rPr>
  </w:style>
  <w:style w:type="paragraph" w:styleId="Header">
    <w:name w:val="header"/>
    <w:basedOn w:val="Normal"/>
    <w:link w:val="HeaderChar"/>
    <w:uiPriority w:val="99"/>
    <w:unhideWhenUsed/>
    <w:rsid w:val="00AC193B"/>
    <w:pPr>
      <w:tabs>
        <w:tab w:val="center" w:pos="4680"/>
        <w:tab w:val="right" w:pos="9360"/>
      </w:tabs>
      <w:spacing w:before="0" w:after="0"/>
    </w:pPr>
  </w:style>
  <w:style w:type="character" w:customStyle="1" w:styleId="HeaderChar">
    <w:name w:val="Header Char"/>
    <w:basedOn w:val="DefaultParagraphFont"/>
    <w:link w:val="Header"/>
    <w:uiPriority w:val="99"/>
    <w:rsid w:val="00AC193B"/>
    <w:rPr>
      <w:rFonts w:ascii="Arial" w:eastAsia="Times New Roman" w:hAnsi="Arial" w:cs="Arial"/>
      <w:szCs w:val="26"/>
      <w:lang w:val="en-US"/>
    </w:rPr>
  </w:style>
  <w:style w:type="paragraph" w:styleId="Footer">
    <w:name w:val="footer"/>
    <w:basedOn w:val="Normal"/>
    <w:link w:val="FooterChar"/>
    <w:uiPriority w:val="99"/>
    <w:unhideWhenUsed/>
    <w:rsid w:val="00AC193B"/>
    <w:pPr>
      <w:tabs>
        <w:tab w:val="center" w:pos="4680"/>
        <w:tab w:val="right" w:pos="9360"/>
      </w:tabs>
      <w:spacing w:before="0" w:after="0"/>
    </w:pPr>
  </w:style>
  <w:style w:type="character" w:customStyle="1" w:styleId="FooterChar">
    <w:name w:val="Footer Char"/>
    <w:basedOn w:val="DefaultParagraphFont"/>
    <w:link w:val="Footer"/>
    <w:uiPriority w:val="99"/>
    <w:rsid w:val="00AC193B"/>
    <w:rPr>
      <w:rFonts w:ascii="Arial" w:eastAsia="Times New Roman" w:hAnsi="Arial" w:cs="Arial"/>
      <w:szCs w:val="26"/>
      <w:lang w:val="en-US"/>
    </w:rPr>
  </w:style>
  <w:style w:type="paragraph" w:styleId="ListParagraph">
    <w:name w:val="List Paragraph"/>
    <w:basedOn w:val="Normal"/>
    <w:uiPriority w:val="34"/>
    <w:qFormat/>
    <w:rsid w:val="00AC193B"/>
    <w:pPr>
      <w:ind w:left="720"/>
      <w:contextualSpacing/>
    </w:pPr>
  </w:style>
  <w:style w:type="table" w:customStyle="1" w:styleId="TableGrid1">
    <w:name w:val="Table Grid1"/>
    <w:basedOn w:val="TableNormal"/>
    <w:next w:val="TableGrid"/>
    <w:uiPriority w:val="39"/>
    <w:rsid w:val="00136DCE"/>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6">
    <w:name w:val="Grid Table 4 Accent 6"/>
    <w:basedOn w:val="TableNormal"/>
    <w:uiPriority w:val="49"/>
    <w:rsid w:val="00E37A68"/>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NormalWeb">
    <w:name w:val="Normal (Web)"/>
    <w:basedOn w:val="Normal"/>
    <w:uiPriority w:val="99"/>
    <w:semiHidden/>
    <w:unhideWhenUsed/>
    <w:rsid w:val="001D6AE1"/>
    <w:pPr>
      <w:spacing w:before="100" w:beforeAutospacing="1" w:after="100" w:afterAutospacing="1"/>
      <w:ind w:left="0"/>
    </w:pPr>
    <w:rPr>
      <w:color w:val="000000"/>
      <w:sz w:val="20"/>
      <w:szCs w:val="20"/>
      <w:lang w:eastAsia="en-GB"/>
    </w:rPr>
  </w:style>
  <w:style w:type="paragraph" w:customStyle="1" w:styleId="0Normal">
    <w:name w:val="0_Normal"/>
    <w:link w:val="0NormalChar"/>
    <w:uiPriority w:val="99"/>
    <w:rsid w:val="001D6AE1"/>
    <w:pPr>
      <w:spacing w:before="120" w:after="240" w:line="240" w:lineRule="auto"/>
      <w:ind w:left="1080"/>
    </w:pPr>
    <w:rPr>
      <w:rFonts w:ascii="Arial" w:eastAsia="Times New Roman" w:hAnsi="Arial" w:cs="Arial"/>
      <w:szCs w:val="26"/>
      <w:lang w:val="en-US"/>
    </w:rPr>
  </w:style>
  <w:style w:type="paragraph" w:customStyle="1" w:styleId="0Heading2">
    <w:name w:val="0_Heading 2"/>
    <w:next w:val="0Normal"/>
    <w:uiPriority w:val="99"/>
    <w:rsid w:val="001D6AE1"/>
    <w:pPr>
      <w:keepNext/>
      <w:numPr>
        <w:ilvl w:val="1"/>
        <w:numId w:val="15"/>
      </w:numPr>
      <w:spacing w:before="240" w:after="240" w:line="240" w:lineRule="auto"/>
      <w:outlineLvl w:val="1"/>
    </w:pPr>
    <w:rPr>
      <w:rFonts w:ascii="Arial" w:eastAsia="Times New Roman" w:hAnsi="Arial" w:cs="Arial"/>
      <w:b/>
      <w:color w:val="53524C"/>
      <w:szCs w:val="28"/>
      <w:lang w:val="en-US"/>
    </w:rPr>
  </w:style>
  <w:style w:type="character" w:customStyle="1" w:styleId="0NormalChar">
    <w:name w:val="0_Normal Char"/>
    <w:basedOn w:val="DefaultParagraphFont"/>
    <w:link w:val="0Normal"/>
    <w:uiPriority w:val="99"/>
    <w:locked/>
    <w:rsid w:val="001D6AE1"/>
    <w:rPr>
      <w:rFonts w:ascii="Arial" w:eastAsia="Times New Roman" w:hAnsi="Arial" w:cs="Arial"/>
      <w:szCs w:val="26"/>
      <w:lang w:val="en-US"/>
    </w:rPr>
  </w:style>
  <w:style w:type="paragraph" w:customStyle="1" w:styleId="0Heading1">
    <w:name w:val="0_Heading 1"/>
    <w:next w:val="0Normal"/>
    <w:uiPriority w:val="99"/>
    <w:rsid w:val="001D6AE1"/>
    <w:pPr>
      <w:numPr>
        <w:numId w:val="15"/>
      </w:numPr>
      <w:tabs>
        <w:tab w:val="clear" w:pos="900"/>
        <w:tab w:val="left" w:pos="1080"/>
      </w:tabs>
      <w:spacing w:before="240" w:after="240" w:line="240" w:lineRule="auto"/>
      <w:ind w:left="1080" w:hanging="1080"/>
      <w:outlineLvl w:val="0"/>
    </w:pPr>
    <w:rPr>
      <w:rFonts w:ascii="Arial Bold" w:eastAsia="Times New Roman" w:hAnsi="Arial Bold" w:cs="Arial"/>
      <w:b/>
      <w:color w:val="8A2412"/>
      <w:sz w:val="24"/>
      <w:szCs w:val="32"/>
      <w:lang w:val="en-US"/>
    </w:rPr>
  </w:style>
  <w:style w:type="paragraph" w:customStyle="1" w:styleId="0Heading3">
    <w:name w:val="0_Heading 3"/>
    <w:next w:val="0Normal"/>
    <w:uiPriority w:val="99"/>
    <w:rsid w:val="001D6AE1"/>
    <w:pPr>
      <w:numPr>
        <w:ilvl w:val="2"/>
        <w:numId w:val="15"/>
      </w:numPr>
      <w:tabs>
        <w:tab w:val="clear" w:pos="270"/>
        <w:tab w:val="left" w:pos="1080"/>
      </w:tabs>
      <w:spacing w:before="240" w:after="240" w:line="240" w:lineRule="auto"/>
      <w:ind w:left="1080" w:hanging="1080"/>
      <w:outlineLvl w:val="2"/>
    </w:pPr>
    <w:rPr>
      <w:rFonts w:ascii="Arial" w:eastAsia="Times New Roman" w:hAnsi="Arial" w:cs="Arial"/>
      <w:b/>
      <w:color w:val="8A2412"/>
      <w:szCs w:val="28"/>
      <w:lang w:val="en-US"/>
    </w:rPr>
  </w:style>
  <w:style w:type="paragraph" w:customStyle="1" w:styleId="0Heading4">
    <w:name w:val="0_Heading 4"/>
    <w:next w:val="0Normal"/>
    <w:uiPriority w:val="99"/>
    <w:rsid w:val="001D6AE1"/>
    <w:pPr>
      <w:keepNext/>
      <w:numPr>
        <w:ilvl w:val="3"/>
        <w:numId w:val="15"/>
      </w:numPr>
      <w:tabs>
        <w:tab w:val="clear" w:pos="990"/>
        <w:tab w:val="left" w:pos="1080"/>
      </w:tabs>
      <w:spacing w:before="240" w:after="240" w:line="240" w:lineRule="auto"/>
      <w:ind w:left="1080" w:hanging="1080"/>
      <w:outlineLvl w:val="3"/>
    </w:pPr>
    <w:rPr>
      <w:rFonts w:ascii="Arial" w:eastAsia="Times New Roman" w:hAnsi="Arial" w:cs="Arial"/>
      <w:b/>
      <w:bCs/>
      <w:color w:val="53524C"/>
      <w:szCs w:val="24"/>
      <w:lang w:val="en-US"/>
    </w:rPr>
  </w:style>
  <w:style w:type="paragraph" w:customStyle="1" w:styleId="0DocumentTitle">
    <w:name w:val="0_Document_Title"/>
    <w:uiPriority w:val="99"/>
    <w:qFormat/>
    <w:rsid w:val="001D6AE1"/>
    <w:pPr>
      <w:spacing w:before="360" w:after="120" w:line="240" w:lineRule="auto"/>
      <w:jc w:val="center"/>
    </w:pPr>
    <w:rPr>
      <w:rFonts w:ascii="Verdana" w:eastAsia="Times New Roman" w:hAnsi="Verdana" w:cs="Arial"/>
      <w:b/>
      <w:bCs/>
      <w:color w:val="000000" w:themeColor="text1"/>
      <w:szCs w:val="32"/>
    </w:rPr>
  </w:style>
  <w:style w:type="character" w:styleId="Hyperlink">
    <w:name w:val="Hyperlink"/>
    <w:basedOn w:val="DefaultParagraphFont"/>
    <w:uiPriority w:val="99"/>
    <w:semiHidden/>
    <w:unhideWhenUsed/>
    <w:rsid w:val="001D6A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249871">
      <w:bodyDiv w:val="1"/>
      <w:marLeft w:val="0"/>
      <w:marRight w:val="0"/>
      <w:marTop w:val="0"/>
      <w:marBottom w:val="0"/>
      <w:divBdr>
        <w:top w:val="none" w:sz="0" w:space="0" w:color="auto"/>
        <w:left w:val="none" w:sz="0" w:space="0" w:color="auto"/>
        <w:bottom w:val="none" w:sz="0" w:space="0" w:color="auto"/>
        <w:right w:val="none" w:sz="0" w:space="0" w:color="auto"/>
      </w:divBdr>
    </w:div>
    <w:div w:id="1357003905">
      <w:bodyDiv w:val="1"/>
      <w:marLeft w:val="0"/>
      <w:marRight w:val="0"/>
      <w:marTop w:val="0"/>
      <w:marBottom w:val="0"/>
      <w:divBdr>
        <w:top w:val="none" w:sz="0" w:space="0" w:color="auto"/>
        <w:left w:val="none" w:sz="0" w:space="0" w:color="auto"/>
        <w:bottom w:val="none" w:sz="0" w:space="0" w:color="auto"/>
        <w:right w:val="none" w:sz="0" w:space="0" w:color="auto"/>
      </w:divBdr>
    </w:div>
    <w:div w:id="1491168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upplier@tcaabudhabi.a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0b79772a-82d6-468a-86d6-22ff1101ba48}" enabled="1" method="Privileged" siteId="{e0ba2eba-5425-4d9b-b24b-f0f4845bcf62}" removed="0"/>
</clbl:labelList>
</file>

<file path=docProps/app.xml><?xml version="1.0" encoding="utf-8"?>
<Properties xmlns="http://schemas.openxmlformats.org/officeDocument/2006/extended-properties" xmlns:vt="http://schemas.openxmlformats.org/officeDocument/2006/docPropsVTypes">
  <Template>Normal</Template>
  <TotalTime>34</TotalTime>
  <Pages>5</Pages>
  <Words>1188</Words>
  <Characters>6778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Anish Kumar</dc:creator>
  <cp:keywords/>
  <dc:description/>
  <cp:lastModifiedBy>Anish Kumar</cp:lastModifiedBy>
  <cp:revision>12</cp:revision>
  <dcterms:created xsi:type="dcterms:W3CDTF">2022-02-25T08:44:00Z</dcterms:created>
  <dcterms:modified xsi:type="dcterms:W3CDTF">2023-10-02T05:21:00Z</dcterms:modified>
</cp:coreProperties>
</file>