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1B35" w:rsidRDefault="00D81A22" w:rsidP="007D1BF8">
      <w:pPr>
        <w:pStyle w:val="NoSpacing"/>
        <w:jc w:val="right"/>
        <w:rPr>
          <w:b/>
          <w:bCs/>
        </w:rPr>
      </w:pPr>
      <w:bookmarkStart w:id="0" w:name="_GoBack"/>
      <w:r>
        <w:rPr>
          <w:b/>
          <w:bCs/>
        </w:rPr>
        <w:t>PDQ – Portable Card Terminal Loan Log</w:t>
      </w:r>
      <w:r w:rsidR="004055EF">
        <w:rPr>
          <w:b/>
          <w:bCs/>
        </w:rPr>
        <w:t xml:space="preserve"> </w:t>
      </w:r>
    </w:p>
    <w:bookmarkEnd w:id="0"/>
    <w:p w:rsidR="004C1B35" w:rsidRDefault="004C1B35" w:rsidP="004C1B35">
      <w:pPr>
        <w:pStyle w:val="NoSpacing"/>
        <w:jc w:val="right"/>
        <w:rPr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887"/>
      </w:tblGrid>
      <w:tr w:rsidR="004C1B35" w:rsidTr="007D1BF8">
        <w:tc>
          <w:tcPr>
            <w:tcW w:w="13887" w:type="dxa"/>
          </w:tcPr>
          <w:p w:rsidR="004C1B35" w:rsidRPr="009D1273" w:rsidRDefault="004C1B35" w:rsidP="004C1B35">
            <w:pPr>
              <w:pStyle w:val="NoSpacing"/>
              <w:rPr>
                <w:b/>
                <w:bCs/>
                <w:i/>
                <w:iCs/>
                <w:color w:val="AEAAAA" w:themeColor="background2" w:themeShade="BF"/>
              </w:rPr>
            </w:pPr>
            <w:r w:rsidRPr="009D1273">
              <w:rPr>
                <w:b/>
                <w:bCs/>
                <w:i/>
                <w:iCs/>
                <w:color w:val="AEAAAA" w:themeColor="background2" w:themeShade="BF"/>
              </w:rPr>
              <w:t>All PDQ terminals remain the p</w:t>
            </w:r>
            <w:r w:rsidR="009D7C6B">
              <w:rPr>
                <w:b/>
                <w:bCs/>
                <w:i/>
                <w:iCs/>
                <w:color w:val="AEAAAA" w:themeColor="background2" w:themeShade="BF"/>
              </w:rPr>
              <w:t>roperty of Global Payments</w:t>
            </w:r>
            <w:r w:rsidRPr="009D1273">
              <w:rPr>
                <w:b/>
                <w:bCs/>
                <w:i/>
                <w:iCs/>
                <w:color w:val="AEAAAA" w:themeColor="background2" w:themeShade="BF"/>
              </w:rPr>
              <w:t>, as the University’s Merchant Acquirer.</w:t>
            </w:r>
          </w:p>
          <w:p w:rsidR="004C1B35" w:rsidRPr="009D1273" w:rsidRDefault="004C1B35" w:rsidP="004C1B35">
            <w:pPr>
              <w:pStyle w:val="NoSpacing"/>
              <w:rPr>
                <w:b/>
                <w:bCs/>
                <w:i/>
                <w:iCs/>
                <w:color w:val="AEAAAA" w:themeColor="background2" w:themeShade="BF"/>
              </w:rPr>
            </w:pPr>
          </w:p>
          <w:p w:rsidR="004C1B35" w:rsidRDefault="004C1B35" w:rsidP="004C1B35">
            <w:pPr>
              <w:pStyle w:val="NoSpacing"/>
              <w:rPr>
                <w:b/>
                <w:bCs/>
              </w:rPr>
            </w:pPr>
            <w:r w:rsidRPr="009D1273">
              <w:rPr>
                <w:b/>
                <w:bCs/>
                <w:i/>
                <w:iCs/>
                <w:color w:val="AEAAAA" w:themeColor="background2" w:themeShade="BF"/>
              </w:rPr>
              <w:t xml:space="preserve">Please note that Department/Service Managers are responsible for the </w:t>
            </w:r>
            <w:r w:rsidR="009D7C6B" w:rsidRPr="009D1273">
              <w:rPr>
                <w:b/>
                <w:bCs/>
                <w:i/>
                <w:iCs/>
                <w:color w:val="AEAAAA" w:themeColor="background2" w:themeShade="BF"/>
              </w:rPr>
              <w:t>safe</w:t>
            </w:r>
            <w:r w:rsidR="009D7C6B">
              <w:rPr>
                <w:b/>
                <w:bCs/>
                <w:i/>
                <w:iCs/>
                <w:color w:val="AEAAAA" w:themeColor="background2" w:themeShade="BF"/>
              </w:rPr>
              <w:t>keeping and</w:t>
            </w:r>
            <w:r w:rsidRPr="009D1273">
              <w:rPr>
                <w:b/>
                <w:bCs/>
                <w:i/>
                <w:iCs/>
                <w:color w:val="AEAAAA" w:themeColor="background2" w:themeShade="BF"/>
              </w:rPr>
              <w:t xml:space="preserve"> return of all PDQ equipment to </w:t>
            </w:r>
            <w:r w:rsidR="009D7C6B">
              <w:rPr>
                <w:b/>
                <w:bCs/>
                <w:i/>
                <w:iCs/>
                <w:color w:val="AEAAAA" w:themeColor="background2" w:themeShade="BF"/>
              </w:rPr>
              <w:t>the Income &amp; Finance Initiative</w:t>
            </w:r>
            <w:r w:rsidRPr="009D1273">
              <w:rPr>
                <w:b/>
                <w:bCs/>
                <w:i/>
                <w:iCs/>
                <w:color w:val="AEAAAA" w:themeColor="background2" w:themeShade="BF"/>
              </w:rPr>
              <w:t xml:space="preserve"> Manager, in accordance with the PDQ Management Policy.</w:t>
            </w:r>
          </w:p>
        </w:tc>
      </w:tr>
    </w:tbl>
    <w:p w:rsidR="009E3D69" w:rsidRDefault="009E3D69" w:rsidP="004C1B35">
      <w:pPr>
        <w:pStyle w:val="NoSpacing"/>
        <w:rPr>
          <w:b/>
          <w:bCs/>
        </w:rPr>
      </w:pPr>
    </w:p>
    <w:p w:rsidR="009E3D69" w:rsidRPr="004C1B35" w:rsidRDefault="009E3D69" w:rsidP="004C1B35">
      <w:pPr>
        <w:pStyle w:val="NoSpacing"/>
        <w:rPr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26"/>
        <w:gridCol w:w="1744"/>
        <w:gridCol w:w="2329"/>
        <w:gridCol w:w="1506"/>
        <w:gridCol w:w="1535"/>
        <w:gridCol w:w="1532"/>
        <w:gridCol w:w="1639"/>
        <w:gridCol w:w="1337"/>
      </w:tblGrid>
      <w:tr w:rsidR="00EF5B24" w:rsidTr="00EF5B24">
        <w:tc>
          <w:tcPr>
            <w:tcW w:w="2326" w:type="dxa"/>
          </w:tcPr>
          <w:p w:rsidR="00EF5B24" w:rsidRPr="004C1B35" w:rsidRDefault="00EF5B24" w:rsidP="004C1B35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Department/Service Manager PDQ issued to &amp; Merchant Account (MID)</w:t>
            </w:r>
          </w:p>
        </w:tc>
        <w:tc>
          <w:tcPr>
            <w:tcW w:w="1744" w:type="dxa"/>
          </w:tcPr>
          <w:p w:rsidR="00EF5B24" w:rsidRDefault="00EF5B24" w:rsidP="004C1B35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Terminal (TID), make &amp; model</w:t>
            </w:r>
          </w:p>
        </w:tc>
        <w:tc>
          <w:tcPr>
            <w:tcW w:w="2329" w:type="dxa"/>
          </w:tcPr>
          <w:p w:rsidR="00EF5B24" w:rsidRDefault="00EF5B24" w:rsidP="004C1B35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Date PDQ issued to Department/Service Manager</w:t>
            </w:r>
          </w:p>
        </w:tc>
        <w:tc>
          <w:tcPr>
            <w:tcW w:w="1506" w:type="dxa"/>
          </w:tcPr>
          <w:p w:rsidR="00EF5B24" w:rsidRDefault="00EF5B24" w:rsidP="004C1B35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Date Inventory Updated</w:t>
            </w:r>
          </w:p>
        </w:tc>
        <w:tc>
          <w:tcPr>
            <w:tcW w:w="1535" w:type="dxa"/>
          </w:tcPr>
          <w:p w:rsidR="00EF5B24" w:rsidRPr="004C1B35" w:rsidRDefault="00EF5B24" w:rsidP="004C1B35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Agreed date of return</w:t>
            </w:r>
          </w:p>
        </w:tc>
        <w:tc>
          <w:tcPr>
            <w:tcW w:w="1532" w:type="dxa"/>
          </w:tcPr>
          <w:p w:rsidR="00EF5B24" w:rsidRPr="004C1B35" w:rsidRDefault="00EF5B24" w:rsidP="00C2676D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Date PDQ returned to Income Team</w:t>
            </w:r>
          </w:p>
        </w:tc>
        <w:tc>
          <w:tcPr>
            <w:tcW w:w="1639" w:type="dxa"/>
          </w:tcPr>
          <w:p w:rsidR="00EF5B24" w:rsidRDefault="00EF5B24" w:rsidP="00C2676D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Date PDQ returned to Global Payments</w:t>
            </w:r>
          </w:p>
        </w:tc>
        <w:tc>
          <w:tcPr>
            <w:tcW w:w="1337" w:type="dxa"/>
          </w:tcPr>
          <w:p w:rsidR="00EF5B24" w:rsidRDefault="00EF5B24" w:rsidP="00C2676D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Date Inventory Update</w:t>
            </w:r>
          </w:p>
        </w:tc>
      </w:tr>
      <w:tr w:rsidR="00EF5B24" w:rsidTr="00EF5B24">
        <w:tc>
          <w:tcPr>
            <w:tcW w:w="2326" w:type="dxa"/>
          </w:tcPr>
          <w:p w:rsidR="00EF5B24" w:rsidRDefault="00EF5B24" w:rsidP="004C1B35">
            <w:pPr>
              <w:pStyle w:val="NoSpacing"/>
              <w:rPr>
                <w:sz w:val="20"/>
                <w:szCs w:val="20"/>
              </w:rPr>
            </w:pPr>
          </w:p>
          <w:p w:rsidR="00EF5B24" w:rsidRDefault="00EF5B24" w:rsidP="004C1B35">
            <w:pPr>
              <w:pStyle w:val="NoSpacing"/>
              <w:rPr>
                <w:sz w:val="20"/>
                <w:szCs w:val="20"/>
              </w:rPr>
            </w:pPr>
          </w:p>
          <w:p w:rsidR="00EF5B24" w:rsidRPr="00661E39" w:rsidRDefault="00EF5B24" w:rsidP="004C1B35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1744" w:type="dxa"/>
          </w:tcPr>
          <w:p w:rsidR="00EF5B24" w:rsidRDefault="00EF5B24" w:rsidP="004C1B35">
            <w:pPr>
              <w:pStyle w:val="NoSpacing"/>
            </w:pPr>
          </w:p>
        </w:tc>
        <w:tc>
          <w:tcPr>
            <w:tcW w:w="2329" w:type="dxa"/>
          </w:tcPr>
          <w:p w:rsidR="00EF5B24" w:rsidRDefault="00EF5B24" w:rsidP="004C1B35">
            <w:pPr>
              <w:pStyle w:val="NoSpacing"/>
            </w:pPr>
          </w:p>
        </w:tc>
        <w:tc>
          <w:tcPr>
            <w:tcW w:w="1506" w:type="dxa"/>
          </w:tcPr>
          <w:p w:rsidR="00EF5B24" w:rsidRDefault="00EF5B24" w:rsidP="004C1B35">
            <w:pPr>
              <w:pStyle w:val="NoSpacing"/>
            </w:pPr>
          </w:p>
        </w:tc>
        <w:tc>
          <w:tcPr>
            <w:tcW w:w="1535" w:type="dxa"/>
          </w:tcPr>
          <w:p w:rsidR="00EF5B24" w:rsidRDefault="00EF5B24" w:rsidP="004C1B35">
            <w:pPr>
              <w:pStyle w:val="NoSpacing"/>
            </w:pPr>
          </w:p>
        </w:tc>
        <w:tc>
          <w:tcPr>
            <w:tcW w:w="1532" w:type="dxa"/>
          </w:tcPr>
          <w:p w:rsidR="00EF5B24" w:rsidRDefault="00EF5B24" w:rsidP="004C1B35">
            <w:pPr>
              <w:pStyle w:val="NoSpacing"/>
            </w:pPr>
          </w:p>
        </w:tc>
        <w:tc>
          <w:tcPr>
            <w:tcW w:w="1639" w:type="dxa"/>
          </w:tcPr>
          <w:p w:rsidR="00EF5B24" w:rsidRDefault="00EF5B24" w:rsidP="004C1B35">
            <w:pPr>
              <w:pStyle w:val="NoSpacing"/>
            </w:pPr>
          </w:p>
        </w:tc>
        <w:tc>
          <w:tcPr>
            <w:tcW w:w="1337" w:type="dxa"/>
          </w:tcPr>
          <w:p w:rsidR="00EF5B24" w:rsidRDefault="00EF5B24" w:rsidP="004C1B35">
            <w:pPr>
              <w:pStyle w:val="NoSpacing"/>
            </w:pPr>
          </w:p>
        </w:tc>
      </w:tr>
      <w:tr w:rsidR="00EF5B24" w:rsidTr="00EF5B24">
        <w:tc>
          <w:tcPr>
            <w:tcW w:w="2326" w:type="dxa"/>
          </w:tcPr>
          <w:p w:rsidR="00EF5B24" w:rsidRDefault="00EF5B24" w:rsidP="004C1B35">
            <w:pPr>
              <w:pStyle w:val="NoSpacing"/>
              <w:rPr>
                <w:sz w:val="20"/>
                <w:szCs w:val="20"/>
              </w:rPr>
            </w:pPr>
          </w:p>
          <w:p w:rsidR="00EF5B24" w:rsidRDefault="00EF5B24" w:rsidP="004C1B35">
            <w:pPr>
              <w:pStyle w:val="NoSpacing"/>
              <w:rPr>
                <w:sz w:val="20"/>
                <w:szCs w:val="20"/>
              </w:rPr>
            </w:pPr>
          </w:p>
          <w:p w:rsidR="00EF5B24" w:rsidRPr="00661E39" w:rsidRDefault="00EF5B24" w:rsidP="004C1B35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1744" w:type="dxa"/>
          </w:tcPr>
          <w:p w:rsidR="00EF5B24" w:rsidRDefault="00EF5B24" w:rsidP="004C1B35">
            <w:pPr>
              <w:pStyle w:val="NoSpacing"/>
            </w:pPr>
          </w:p>
        </w:tc>
        <w:tc>
          <w:tcPr>
            <w:tcW w:w="2329" w:type="dxa"/>
          </w:tcPr>
          <w:p w:rsidR="00EF5B24" w:rsidRDefault="00EF5B24" w:rsidP="004C1B35">
            <w:pPr>
              <w:pStyle w:val="NoSpacing"/>
            </w:pPr>
          </w:p>
        </w:tc>
        <w:tc>
          <w:tcPr>
            <w:tcW w:w="1506" w:type="dxa"/>
          </w:tcPr>
          <w:p w:rsidR="00EF5B24" w:rsidRDefault="00EF5B24" w:rsidP="004C1B35">
            <w:pPr>
              <w:pStyle w:val="NoSpacing"/>
            </w:pPr>
          </w:p>
        </w:tc>
        <w:tc>
          <w:tcPr>
            <w:tcW w:w="1535" w:type="dxa"/>
          </w:tcPr>
          <w:p w:rsidR="00EF5B24" w:rsidRDefault="00EF5B24" w:rsidP="004C1B35">
            <w:pPr>
              <w:pStyle w:val="NoSpacing"/>
            </w:pPr>
          </w:p>
        </w:tc>
        <w:tc>
          <w:tcPr>
            <w:tcW w:w="1532" w:type="dxa"/>
          </w:tcPr>
          <w:p w:rsidR="00EF5B24" w:rsidRDefault="00EF5B24" w:rsidP="004C1B35">
            <w:pPr>
              <w:pStyle w:val="NoSpacing"/>
            </w:pPr>
          </w:p>
        </w:tc>
        <w:tc>
          <w:tcPr>
            <w:tcW w:w="1639" w:type="dxa"/>
          </w:tcPr>
          <w:p w:rsidR="00EF5B24" w:rsidRDefault="00EF5B24" w:rsidP="004C1B35">
            <w:pPr>
              <w:pStyle w:val="NoSpacing"/>
            </w:pPr>
          </w:p>
        </w:tc>
        <w:tc>
          <w:tcPr>
            <w:tcW w:w="1337" w:type="dxa"/>
          </w:tcPr>
          <w:p w:rsidR="00EF5B24" w:rsidRDefault="00EF5B24" w:rsidP="004C1B35">
            <w:pPr>
              <w:pStyle w:val="NoSpacing"/>
            </w:pPr>
          </w:p>
        </w:tc>
      </w:tr>
      <w:tr w:rsidR="00EF5B24" w:rsidTr="00EF5B24">
        <w:tc>
          <w:tcPr>
            <w:tcW w:w="2326" w:type="dxa"/>
          </w:tcPr>
          <w:p w:rsidR="00EF5B24" w:rsidRDefault="00EF5B24" w:rsidP="00C8227E">
            <w:pPr>
              <w:pStyle w:val="NoSpacing"/>
              <w:rPr>
                <w:sz w:val="20"/>
                <w:szCs w:val="20"/>
              </w:rPr>
            </w:pPr>
          </w:p>
          <w:p w:rsidR="00EF5B24" w:rsidRDefault="00EF5B24" w:rsidP="00C8227E">
            <w:pPr>
              <w:pStyle w:val="NoSpacing"/>
              <w:rPr>
                <w:sz w:val="20"/>
                <w:szCs w:val="20"/>
              </w:rPr>
            </w:pPr>
          </w:p>
          <w:p w:rsidR="00EF5B24" w:rsidRPr="00661E39" w:rsidRDefault="00EF5B24" w:rsidP="00C8227E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1744" w:type="dxa"/>
          </w:tcPr>
          <w:p w:rsidR="00EF5B24" w:rsidRDefault="00EF5B24" w:rsidP="004C1B35">
            <w:pPr>
              <w:pStyle w:val="NoSpacing"/>
            </w:pPr>
          </w:p>
        </w:tc>
        <w:tc>
          <w:tcPr>
            <w:tcW w:w="2329" w:type="dxa"/>
          </w:tcPr>
          <w:p w:rsidR="00EF5B24" w:rsidRDefault="00EF5B24" w:rsidP="004C1B35">
            <w:pPr>
              <w:pStyle w:val="NoSpacing"/>
            </w:pPr>
          </w:p>
        </w:tc>
        <w:tc>
          <w:tcPr>
            <w:tcW w:w="1506" w:type="dxa"/>
          </w:tcPr>
          <w:p w:rsidR="00EF5B24" w:rsidRDefault="00EF5B24" w:rsidP="004C1B35">
            <w:pPr>
              <w:pStyle w:val="NoSpacing"/>
            </w:pPr>
          </w:p>
        </w:tc>
        <w:tc>
          <w:tcPr>
            <w:tcW w:w="1535" w:type="dxa"/>
          </w:tcPr>
          <w:p w:rsidR="00EF5B24" w:rsidRDefault="00EF5B24" w:rsidP="004C1B35">
            <w:pPr>
              <w:pStyle w:val="NoSpacing"/>
            </w:pPr>
          </w:p>
        </w:tc>
        <w:tc>
          <w:tcPr>
            <w:tcW w:w="1532" w:type="dxa"/>
          </w:tcPr>
          <w:p w:rsidR="00EF5B24" w:rsidRDefault="00EF5B24" w:rsidP="004C1B35">
            <w:pPr>
              <w:pStyle w:val="NoSpacing"/>
            </w:pPr>
          </w:p>
        </w:tc>
        <w:tc>
          <w:tcPr>
            <w:tcW w:w="1639" w:type="dxa"/>
          </w:tcPr>
          <w:p w:rsidR="00EF5B24" w:rsidRDefault="00EF5B24" w:rsidP="004C1B35">
            <w:pPr>
              <w:pStyle w:val="NoSpacing"/>
            </w:pPr>
          </w:p>
        </w:tc>
        <w:tc>
          <w:tcPr>
            <w:tcW w:w="1337" w:type="dxa"/>
          </w:tcPr>
          <w:p w:rsidR="00EF5B24" w:rsidRDefault="00EF5B24" w:rsidP="004C1B35">
            <w:pPr>
              <w:pStyle w:val="NoSpacing"/>
            </w:pPr>
          </w:p>
        </w:tc>
      </w:tr>
      <w:tr w:rsidR="00EF5B24" w:rsidTr="00EF5B24">
        <w:tc>
          <w:tcPr>
            <w:tcW w:w="2326" w:type="dxa"/>
          </w:tcPr>
          <w:p w:rsidR="00EF5B24" w:rsidRDefault="00EF5B24" w:rsidP="004C1B35">
            <w:pPr>
              <w:pStyle w:val="NoSpacing"/>
            </w:pPr>
          </w:p>
          <w:p w:rsidR="00EF5B24" w:rsidRDefault="00EF5B24" w:rsidP="004C1B35">
            <w:pPr>
              <w:pStyle w:val="NoSpacing"/>
            </w:pPr>
          </w:p>
          <w:p w:rsidR="00EF5B24" w:rsidRDefault="00EF5B24" w:rsidP="004C1B35">
            <w:pPr>
              <w:pStyle w:val="NoSpacing"/>
            </w:pPr>
          </w:p>
        </w:tc>
        <w:tc>
          <w:tcPr>
            <w:tcW w:w="1744" w:type="dxa"/>
          </w:tcPr>
          <w:p w:rsidR="00EF5B24" w:rsidRDefault="00EF5B24" w:rsidP="004C1B35">
            <w:pPr>
              <w:pStyle w:val="NoSpacing"/>
            </w:pPr>
          </w:p>
        </w:tc>
        <w:tc>
          <w:tcPr>
            <w:tcW w:w="2329" w:type="dxa"/>
          </w:tcPr>
          <w:p w:rsidR="00EF5B24" w:rsidRDefault="00EF5B24" w:rsidP="004C1B35">
            <w:pPr>
              <w:pStyle w:val="NoSpacing"/>
            </w:pPr>
          </w:p>
        </w:tc>
        <w:tc>
          <w:tcPr>
            <w:tcW w:w="1506" w:type="dxa"/>
          </w:tcPr>
          <w:p w:rsidR="00EF5B24" w:rsidRDefault="00EF5B24" w:rsidP="004C1B35">
            <w:pPr>
              <w:pStyle w:val="NoSpacing"/>
            </w:pPr>
          </w:p>
        </w:tc>
        <w:tc>
          <w:tcPr>
            <w:tcW w:w="1535" w:type="dxa"/>
          </w:tcPr>
          <w:p w:rsidR="00EF5B24" w:rsidRDefault="00EF5B24" w:rsidP="004C1B35">
            <w:pPr>
              <w:pStyle w:val="NoSpacing"/>
            </w:pPr>
          </w:p>
        </w:tc>
        <w:tc>
          <w:tcPr>
            <w:tcW w:w="1532" w:type="dxa"/>
          </w:tcPr>
          <w:p w:rsidR="00EF5B24" w:rsidRDefault="00EF5B24" w:rsidP="004C1B35">
            <w:pPr>
              <w:pStyle w:val="NoSpacing"/>
            </w:pPr>
          </w:p>
        </w:tc>
        <w:tc>
          <w:tcPr>
            <w:tcW w:w="1639" w:type="dxa"/>
          </w:tcPr>
          <w:p w:rsidR="00EF5B24" w:rsidRDefault="00EF5B24" w:rsidP="004C1B35">
            <w:pPr>
              <w:pStyle w:val="NoSpacing"/>
            </w:pPr>
          </w:p>
        </w:tc>
        <w:tc>
          <w:tcPr>
            <w:tcW w:w="1337" w:type="dxa"/>
          </w:tcPr>
          <w:p w:rsidR="00EF5B24" w:rsidRDefault="00EF5B24" w:rsidP="004C1B35">
            <w:pPr>
              <w:pStyle w:val="NoSpacing"/>
            </w:pPr>
          </w:p>
        </w:tc>
      </w:tr>
      <w:tr w:rsidR="00EF5B24" w:rsidTr="00EF5B24">
        <w:tc>
          <w:tcPr>
            <w:tcW w:w="2326" w:type="dxa"/>
          </w:tcPr>
          <w:p w:rsidR="00EF5B24" w:rsidRDefault="00EF5B24" w:rsidP="004C1B35">
            <w:pPr>
              <w:pStyle w:val="NoSpacing"/>
            </w:pPr>
          </w:p>
          <w:p w:rsidR="00EF5B24" w:rsidRDefault="00EF5B24" w:rsidP="004C1B35">
            <w:pPr>
              <w:pStyle w:val="NoSpacing"/>
            </w:pPr>
          </w:p>
          <w:p w:rsidR="00EF5B24" w:rsidRDefault="00EF5B24" w:rsidP="004C1B35">
            <w:pPr>
              <w:pStyle w:val="NoSpacing"/>
            </w:pPr>
          </w:p>
        </w:tc>
        <w:tc>
          <w:tcPr>
            <w:tcW w:w="1744" w:type="dxa"/>
          </w:tcPr>
          <w:p w:rsidR="00EF5B24" w:rsidRDefault="00EF5B24" w:rsidP="004C1B35">
            <w:pPr>
              <w:pStyle w:val="NoSpacing"/>
            </w:pPr>
          </w:p>
        </w:tc>
        <w:tc>
          <w:tcPr>
            <w:tcW w:w="2329" w:type="dxa"/>
          </w:tcPr>
          <w:p w:rsidR="00EF5B24" w:rsidRDefault="00EF5B24" w:rsidP="004C1B35">
            <w:pPr>
              <w:pStyle w:val="NoSpacing"/>
            </w:pPr>
          </w:p>
        </w:tc>
        <w:tc>
          <w:tcPr>
            <w:tcW w:w="1506" w:type="dxa"/>
          </w:tcPr>
          <w:p w:rsidR="00EF5B24" w:rsidRDefault="00EF5B24" w:rsidP="004C1B35">
            <w:pPr>
              <w:pStyle w:val="NoSpacing"/>
            </w:pPr>
          </w:p>
        </w:tc>
        <w:tc>
          <w:tcPr>
            <w:tcW w:w="1535" w:type="dxa"/>
          </w:tcPr>
          <w:p w:rsidR="00EF5B24" w:rsidRDefault="00EF5B24" w:rsidP="004C1B35">
            <w:pPr>
              <w:pStyle w:val="NoSpacing"/>
            </w:pPr>
          </w:p>
        </w:tc>
        <w:tc>
          <w:tcPr>
            <w:tcW w:w="1532" w:type="dxa"/>
          </w:tcPr>
          <w:p w:rsidR="00EF5B24" w:rsidRDefault="00EF5B24" w:rsidP="004C1B35">
            <w:pPr>
              <w:pStyle w:val="NoSpacing"/>
            </w:pPr>
          </w:p>
        </w:tc>
        <w:tc>
          <w:tcPr>
            <w:tcW w:w="1639" w:type="dxa"/>
          </w:tcPr>
          <w:p w:rsidR="00EF5B24" w:rsidRDefault="00EF5B24" w:rsidP="004C1B35">
            <w:pPr>
              <w:pStyle w:val="NoSpacing"/>
            </w:pPr>
          </w:p>
        </w:tc>
        <w:tc>
          <w:tcPr>
            <w:tcW w:w="1337" w:type="dxa"/>
          </w:tcPr>
          <w:p w:rsidR="00EF5B24" w:rsidRDefault="00EF5B24" w:rsidP="004C1B35">
            <w:pPr>
              <w:pStyle w:val="NoSpacing"/>
            </w:pPr>
          </w:p>
        </w:tc>
      </w:tr>
      <w:tr w:rsidR="00EF5B24" w:rsidTr="00EF5B24">
        <w:tc>
          <w:tcPr>
            <w:tcW w:w="2326" w:type="dxa"/>
          </w:tcPr>
          <w:p w:rsidR="00EF5B24" w:rsidRDefault="00EF5B24" w:rsidP="004C1B35">
            <w:pPr>
              <w:pStyle w:val="NoSpacing"/>
            </w:pPr>
          </w:p>
          <w:p w:rsidR="00EF5B24" w:rsidRDefault="00EF5B24" w:rsidP="004C1B35">
            <w:pPr>
              <w:pStyle w:val="NoSpacing"/>
            </w:pPr>
          </w:p>
          <w:p w:rsidR="00EF5B24" w:rsidRDefault="00EF5B24" w:rsidP="004C1B35">
            <w:pPr>
              <w:pStyle w:val="NoSpacing"/>
            </w:pPr>
          </w:p>
        </w:tc>
        <w:tc>
          <w:tcPr>
            <w:tcW w:w="1744" w:type="dxa"/>
          </w:tcPr>
          <w:p w:rsidR="00EF5B24" w:rsidRDefault="00EF5B24" w:rsidP="004C1B35">
            <w:pPr>
              <w:pStyle w:val="NoSpacing"/>
            </w:pPr>
          </w:p>
        </w:tc>
        <w:tc>
          <w:tcPr>
            <w:tcW w:w="2329" w:type="dxa"/>
          </w:tcPr>
          <w:p w:rsidR="00EF5B24" w:rsidRDefault="00EF5B24" w:rsidP="004C1B35">
            <w:pPr>
              <w:pStyle w:val="NoSpacing"/>
            </w:pPr>
          </w:p>
        </w:tc>
        <w:tc>
          <w:tcPr>
            <w:tcW w:w="1506" w:type="dxa"/>
          </w:tcPr>
          <w:p w:rsidR="00EF5B24" w:rsidRDefault="00EF5B24" w:rsidP="004C1B35">
            <w:pPr>
              <w:pStyle w:val="NoSpacing"/>
            </w:pPr>
          </w:p>
        </w:tc>
        <w:tc>
          <w:tcPr>
            <w:tcW w:w="1535" w:type="dxa"/>
          </w:tcPr>
          <w:p w:rsidR="00EF5B24" w:rsidRDefault="00EF5B24" w:rsidP="004C1B35">
            <w:pPr>
              <w:pStyle w:val="NoSpacing"/>
            </w:pPr>
          </w:p>
        </w:tc>
        <w:tc>
          <w:tcPr>
            <w:tcW w:w="1532" w:type="dxa"/>
          </w:tcPr>
          <w:p w:rsidR="00EF5B24" w:rsidRDefault="00EF5B24" w:rsidP="004C1B35">
            <w:pPr>
              <w:pStyle w:val="NoSpacing"/>
            </w:pPr>
          </w:p>
        </w:tc>
        <w:tc>
          <w:tcPr>
            <w:tcW w:w="1639" w:type="dxa"/>
          </w:tcPr>
          <w:p w:rsidR="00EF5B24" w:rsidRDefault="00EF5B24" w:rsidP="004C1B35">
            <w:pPr>
              <w:pStyle w:val="NoSpacing"/>
            </w:pPr>
          </w:p>
        </w:tc>
        <w:tc>
          <w:tcPr>
            <w:tcW w:w="1337" w:type="dxa"/>
          </w:tcPr>
          <w:p w:rsidR="00EF5B24" w:rsidRDefault="00EF5B24" w:rsidP="004C1B35">
            <w:pPr>
              <w:pStyle w:val="NoSpacing"/>
            </w:pPr>
          </w:p>
        </w:tc>
      </w:tr>
    </w:tbl>
    <w:p w:rsidR="009D1273" w:rsidRDefault="009D1273" w:rsidP="004C1B35">
      <w:pPr>
        <w:pStyle w:val="NoSpacing"/>
      </w:pPr>
    </w:p>
    <w:p w:rsidR="009D1273" w:rsidRDefault="009D1273" w:rsidP="004C1B35">
      <w:pPr>
        <w:pStyle w:val="NoSpacing"/>
      </w:pPr>
    </w:p>
    <w:sectPr w:rsidR="009D1273" w:rsidSect="007D1BF8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1B35"/>
    <w:rsid w:val="001321F6"/>
    <w:rsid w:val="002052E0"/>
    <w:rsid w:val="002E63E7"/>
    <w:rsid w:val="004055EF"/>
    <w:rsid w:val="004C1B35"/>
    <w:rsid w:val="005B37CF"/>
    <w:rsid w:val="00661E39"/>
    <w:rsid w:val="007D1BF8"/>
    <w:rsid w:val="009D1273"/>
    <w:rsid w:val="009D7C6B"/>
    <w:rsid w:val="009E3D69"/>
    <w:rsid w:val="00C2676D"/>
    <w:rsid w:val="00C8227E"/>
    <w:rsid w:val="00CA61FD"/>
    <w:rsid w:val="00D81A22"/>
    <w:rsid w:val="00EF5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8F5B0E3-2382-40B3-8CB7-D1B014B342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C1B35"/>
    <w:pPr>
      <w:spacing w:after="0" w:line="240" w:lineRule="auto"/>
    </w:pPr>
  </w:style>
  <w:style w:type="table" w:styleId="TableGrid">
    <w:name w:val="Table Grid"/>
    <w:basedOn w:val="TableNormal"/>
    <w:uiPriority w:val="39"/>
    <w:rsid w:val="004C1B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055E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55E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1978B116</Template>
  <TotalTime>0</TotalTime>
  <Pages>1</Pages>
  <Words>103</Words>
  <Characters>588</Characters>
  <Application>Microsoft Office Word</Application>
  <DocSecurity>4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Sussex</Company>
  <LinksUpToDate>false</LinksUpToDate>
  <CharactersWithSpaces>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Catherine Hulme</dc:creator>
  <cp:keywords/>
  <dc:description/>
  <cp:lastModifiedBy>Lynne Allen</cp:lastModifiedBy>
  <cp:revision>2</cp:revision>
  <cp:lastPrinted>2018-04-19T11:38:00Z</cp:lastPrinted>
  <dcterms:created xsi:type="dcterms:W3CDTF">2018-11-21T09:42:00Z</dcterms:created>
  <dcterms:modified xsi:type="dcterms:W3CDTF">2018-11-21T09:42:00Z</dcterms:modified>
</cp:coreProperties>
</file>